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 xml:space="preserve">Государственный контракт №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Cs/>
          <w:sz w:val="26"/>
          <w:szCs w:val="26"/>
          <w:lang w:eastAsia="ru-RU"/>
        </w:rPr>
        <w:t>на охрану объекта с помощью охранной сигнализации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Cs/>
          <w:sz w:val="26"/>
          <w:szCs w:val="26"/>
          <w:lang w:eastAsia="ru-RU"/>
        </w:rPr>
        <w:t xml:space="preserve">г. Анадырь                                                                                   «___»________ 20____г.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Федеральное государственное казенное учреждение «Отдел вневедомственной охраны войск национальной гвардии  Российской Федерации по Чукотскому автономному округу», именуемое в дальнейшем </w:t>
      </w: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«Охрана»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, в лице начальника , действующего на основании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Устава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, с одной стороны, и </w:t>
      </w:r>
      <w:r>
        <w:rPr>
          <w:rFonts w:eastAsia="Times New Roman" w:cs="Times New Roman" w:ascii="Times New Roman" w:hAnsi="Times New Roman"/>
          <w:bCs/>
          <w:sz w:val="26"/>
          <w:szCs w:val="26"/>
          <w:lang w:eastAsia="ru-RU"/>
        </w:rPr>
        <w:t xml:space="preserve">Прокуратура Чукотского автономного округа, именуемое в дальнейшем 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ru-RU"/>
        </w:rPr>
        <w:t>«Клиент»</w:t>
      </w:r>
      <w:r>
        <w:rPr>
          <w:rFonts w:eastAsia="Times New Roman" w:cs="Times New Roman" w:ascii="Times New Roman" w:hAnsi="Times New Roman"/>
          <w:bCs/>
          <w:sz w:val="26"/>
          <w:szCs w:val="26"/>
          <w:lang w:eastAsia="ru-RU"/>
        </w:rPr>
        <w:t>,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в лице  с другой стороны, совместно именуемые «Стороны», в соответствии с пунктом 6 </w:t>
      </w:r>
      <w:r>
        <w:rPr>
          <w:rFonts w:eastAsia="Calibri" w:cs="Times New Roman" w:ascii="Times New Roman" w:hAnsi="Times New Roman"/>
          <w:sz w:val="26"/>
          <w:szCs w:val="26"/>
        </w:rPr>
        <w:t xml:space="preserve">части 1 статьи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нужд», заключили настоящий Государственный контракт (далее - Контракт)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о нижеследующем: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1. ПРЕДМЕТ КОНТРАКТА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1.1. «Охрана» оказывает охранные услуги «Клиенту» в зданиях, помещениях их частях или комбинациях (далее «Объект»), указанных в акте обследования «Объекта», в соответствии с общими условиями предоставления услуг охраны (раздел.2 настоящего Контракта).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1.2. Услуги, оказываемые «Охраной», заключаются: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1.2.1. В осуществлении технического контроля установленного на «Объекте» комплекса технических средств охраны (далее «Комплекса»), с помощью пульта централизованного наблюдения (далее ПЦН), установленного на пункте централизованной охраны (далее ПЦО), приеме сообщений, формируемых «Комплексом».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1.2.2. В реагировании наряда группы задержания филиала ФГКУ «ОВО ВНГ России по Чукотскому автономному округу» (далее - наряд группы задержания) на поступающие с «Объекта» «тревожные» сообщения (под «тревожными» понимаются сообщения информаторного принципа действия об угрозе жизни или здоровья, несанкционированном проникновении, пожаре, а также снятии «Объекта» с охраны, с использованием </w:t>
      </w:r>
      <w:r>
        <w:rPr>
          <w:rFonts w:ascii="Times New Roman" w:hAnsi="Times New Roman"/>
          <w:sz w:val="26"/>
          <w:szCs w:val="26"/>
        </w:rPr>
        <w:t>пароли (кода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).</w:t>
      </w:r>
    </w:p>
    <w:p>
      <w:pPr>
        <w:pStyle w:val="Normal"/>
        <w:tabs>
          <w:tab w:val="clear" w:pos="709"/>
          <w:tab w:val="left" w:pos="567" w:leader="none"/>
          <w:tab w:val="left" w:pos="851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1.3. Установка и техническое обслуживание средств сигнализации на «Объекте» производится обслуживающей организацией по отдельному договору с «Клиентом».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1.4.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>Пользование услугами «Охраны» по реагированию на «тревожные» сообщения,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передаваемые средствами тревожной и/или пожарной сигнализации «Комплекса», не предусматривает материальную ответственность «Охраны» по настоящему Контракту в случае возникновения ущерба.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1.5. При использовании «Оконечного устройства» (далее по тексту -  ОУ), числящегося на балансе «Охраны», после его установки, оно является составной частью «Комплекса» и служит для организации канала связи с пультом централизованного наблюдения при оказании охранных услуг «Клиенту», указанных в Перечне объектов и услуг (Приложение № 1 к настоящему Контракту).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1.6. При использовании «Оконечного устройства», числящегося на балансе  «Охраны», сторонами настоящего Контракта составляется Акт, в котором указывается техническое состояние и наименование используемого ОУ.</w:t>
      </w:r>
      <w:r>
        <w:rPr>
          <w:rStyle w:val="Style22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2"/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2. ОБЩИЕ УСЛОВИЯ ПРЕДОСТАВЛЕНИЯ УСЛУГ ОХРАНЫ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2.1. Контракт заключается после оборудования «Объекта» «Комплексом» и проведения приемки «Комплекса» в эксплуатацию представителями «Охраны» с составлением соответствующего акта приемки, подписанного сторонами. В состав «Комплекса», как правило, входят: технические средства охранной сигнализации (сокращенно - ОС), технические средства тревожной сигнализации (сокращенно - ТС), технические средства пожарной сигнализации (сокращенно - ПС), как по отдельности, так и совместно в различных комбинациях.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2.2. Проектирование, монтаж, обучение правилам управления «Комплексом» и техническое обслуживание не являются предметом Контракта.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2.3. Перед началом работ по оборудованию «Объекта» проводится его обследование. В ходе обследования «Охрана» совместно с «Клиентом» определяют перечень технических средств сигнализации, входящих в состав «Комплекса», а также перечень мероприятий по усилению технической (инженерной) укрепленности «Объекта», которые указываются в акте первичного обследования «Объекта, являющимся неотъемлемой частью настоящего Контракта. Обследование «Объекта» с составлением соответствующего акта также проводится и в случае, когда «Объект» уже был оборудован «Комплексом», с целью определения его технического состояния, возможности подключения на ПЦН «Охраны», а также определения дополнительных организационно-технических мероприятий, которые необходимо выполнить для заключения Контракта. Все акты обследования «Объекта», составленные с участием «Охраны» и «Клиента», имеют юридическую силу и предписания указанные в них, обязательны для исполнения «Клиентом».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2.4. В случаях, когда в отношении «Объекта» распространяются требования руководящих отраслевых или ведомственных нормативных документов, касающихся проведения мероприятий по усилению конструктивных элементов зданий и помещений, или когда «Объект» подлежит оснащению средствами охранной, пожарной и тревожной сигнализации для лицензирования своей деятельности, выполнение рекомендаций «Охраны» для «Клиента» является обязательным.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2.5. Для оформления Контракта «Клиент» предоставляет «Охране» уставные документы, копию свидетельства о регистрации, постановке на налоговый учет, документы подтверждающие право пользования «Объектом» (помещениями «Объекта»), исполнительскую и проектную документацию на «Комплекс». В течение срока действия Контракта «Клиент» отвечает за объективность и своевременность предоставления сведений о произошедших изменениях и в письменной форме сообщает о них «Охране».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2.6. Реагирование «Охраной» на «тревожные» сообщения «Комплекса» о несанкционированном проникновении на «Объект» осуществляется в дни и время (далее - режим охраны), указанные в Перечне объектов и услуг (Приложение № 1 к настоящему Контракту). Реагирование на сообщения о нападении и (или) пожаре, если в Перечне объектов и услуг (Приложение № 1 к настоящему Контракту) не определено иное, -  круглосуточно. Управление «Комплексом» осуществляется «Клиентом». Зоной действия «носимых» кнопок тревожной сигнализации, если в инструкции по управлению «Комплексом» или в акте обследования не определено иное, являются помещения в границах «Объекта».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2.7. Техническое обслуживание «Комплекса», устранение неисправностей «Комплекса» (текущий, внеплановый, капитальный и другие виды ремонта) «Охраной», не выполняется.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2.8. Капитальный ремонт шлейфа, заключающийся в демонтаже и полной замене извещателей, соединительных линий и установочных элементов, замена оборудования, в случаях когда «Комплекс» выработал сроки службы или дальнейшая его эксплуатация невозможна из-за неблагоприятных климатических условий, технологических или иных воздействий, а также работы по дооборудованию «Объекта» средствами сигнализации, не являются предметом Контракта. Необходимость проведения капитального ремонта шлейфов, замены оборудования определяются после комиссионной проверки технического состояния комплекса.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2.9. Для «Комплекса», когда в технической документации на оборудование не указано иное, устанавливается нормативный срок службы – восемь лет со дня начала эксплуатации. В случае отсутствия возможности установить срок эксплуатации «Комплекса», то срок начала эксплуатации считается год выпуска оборудования.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2.10. При проведении работ по капитальному ремонту, дооборудованию «Объекта», «Охрана» осуществляет: обследование «Объекта» и подготовку актов по технической укрепленности, согласование актов (технических заданий на проектирование) на оборудование (дооборудование) «Объекта» средствами «Комплекса»; приемку смонтированных средств «Комплекса» в эксплуатацию в составе комиссии.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2.11. В случае отказа оборудования, относящегося к системе централизованного наблюдения и невозможности осуществлять автоматический прием сообщений, передаваемых «Комплексом», «Охрана» оповещает «Клиента», либо его доверенных лиц, о случившемся в течение 24 часов с момента наступления события, используя при этом все доступные средства связи.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 xml:space="preserve">«Клиент» в этот период, в случае необходимости (несанкционированное проникновение на объект посторонних лиц, нападение на «Объект», угроза жизни и/или здоровья), может вызвать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>наряд группы задержания по телефонам ПЦН.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2.12. В течение срока действия Контракта представители «Охраны» проводят обследование технической укрепленности «Объекта» и проверку технического состояния «Комплекса». Периодичность проведения обследования определяется «Охраной». Результаты обследований оформляются актами, составляемыми за подписью лиц, уполномоченными на то сторонами, с указание порядка и сроков устранения «Клиентом» недостатков, в случае их выявления. Акты обследования имеют юридическую силу и обязательны для исполнения сторонами. «Клиент» при этом обеспечивает допуск «Охраны» на «Объект» и направляет представителя для участия в комиссионном обследовании.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2.12.1. Срок устранения недостатков устанавливается в Акте обследования «Объекта», но не более, чем на 1 (один) месяц.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2.13. «Комплексу» «Объекта» присваиваются пультовые номера, для идентификации его на ПЦН.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2.14. Сторонами не разглашаются третьим лицам сведения о принципах построения и составе «Комплекса», присвоенные пультовые номера, пароли и коды пользователей.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2.15. В случае изменения количества охраняемых «Объектов» (помещений «Объекта»), адреса «Объекта», режима охраны «Объекта», вида услуг, сторонами подписывается новый надлежаще оформленный Перечень объектов и  услуг.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2.16. Данные о техническом контроле «Комплекса» с ПЦН фиксируются с помощью автоматизированной компьютерной базы данных «Охраны». Стороны согласны признавать информацию автоматизированного учета данных технического контроля «Комплекса» в качестве доказательства при разрешении споров и разногласий, в том числе и при разрешении споров в суде.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3. ОБЯЗАННОСТИ СТОРОН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3.1.</w:t>
        <w:tab/>
        <w:t>«Охрана» обязуется: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3.1.1. Обеспечить прием и регистрацию сообщений, передаваемых «Комплексом».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3.1.2. При получении «тревожного» сообщения с «Комплекса», направить наряд группы задержания к «Объекту» и принять меры к задержанию лиц, совершающих противоправные действия.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3.1.3. При обнаружении признаков нарушения целостности «Объекта», сообщить об этом «Клиенту». Обеспечить неприкосновенность места происшествия до прибытия следственно-оперативной группы.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3.1.4. На период отсутствия технической возможности охраны «Объекта» с ПЦН, при получении информации о несанкционированном проникновении на «Объект» посторонних лиц, угрожающих жизни и/или здоровью граждан, направить на «Объект» наряд группы задержания для принятия соответствующих мер.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3.2.</w:t>
        <w:tab/>
        <w:t>«Клиент» обязуется: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3.2.1. Соблюдать положения «Общих условий предоставления услуг охраны» (раздел 2 настоящего Контракта). </w:t>
      </w:r>
    </w:p>
    <w:p>
      <w:pPr>
        <w:pStyle w:val="Normal"/>
        <w:spacing w:lineRule="auto" w:line="240" w:before="0" w:after="0"/>
        <w:ind w:right="-2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3.2.2. Выполнять определенные «Охраной» предписания и отражаемые в Актах обследования «Объекта» мероприятия по технической укрепленности «Объекта», технического состояния «Комплекса» и его оборудования/дооборудования ТСО. Соблюдать условия и правила хранения материальных ценностей. Периодичность проведения обследования определяется «Охраной», «Клиент» при этом обеспечивает допуск «Охраны» на «Объект» и направляет представителя для участия в комиссионном обследовании. В течение 5 рабочих дней согласовывать (подписывать) предоставляемые «Охраной» акты обследования «Объекта». </w:t>
      </w:r>
    </w:p>
    <w:p>
      <w:pPr>
        <w:pStyle w:val="Normal"/>
        <w:spacing w:lineRule="auto" w:line="240" w:before="0" w:after="0"/>
        <w:ind w:right="-2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3.2.3. Участвовать в осмотре «Объекта», представлять «Охране» необходимые документы по факту реагирования наряда группы задержания на «тревожные» сообщения. В случае использования тревожной сигнализации «Комплекса» давать пояснения по факту вызова наряд группы задержания. Оказывать всестороннее содействие сотрудникам полиции при выполнении ими своих обязанностей.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3.2.4. Предоставить «Охране» данные о служебных, домашних, мобильных номерах телефонов, а также адресах проживания доверенных лиц, уполномоченных осуществлять сдачу «Объекта», вскрывать и участвовать в осмотре «Объекта». В течение срока действия Контракта в письменной форме уведомлять «Охрану» о произошедших изменениях, не позднее чем через 2 дня со дня наступления таких изменений. Закрепить за каждым доверенным лицом электронный ключ, для идентификации этого лица на ПЦН, при постановке «Объекта» под охрану и снятия «Объекта» с охраны. Не использовать повторно электронные ключи, закрепляя их за другими доверенными лицами, а также исключить доступ к электронным ключам посторонних лиц. Незамедлительно уведомлять «Охрану», в случае утраты электронного ключа.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3.2.5. При получении сообщения о возникновении обстоятельств, указанных в п.2.11. организовать охрану «Объекта» своими силами до восстановления технической возможности охраны «Объекта» с ПЦН.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>Информацию о возможности возобновления охраны «Объекта», «Клиент» узнает по телефонам ПЦО.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3.2.6. При проведении на «Объекте» ремонта, перепланировки, переоборудования помещений, в случаях появления новых или изменения мест хранения ценностей, изменения режима или профиля работ, сдачи помещения (площадей) в аренду (субаренду) или передачи помещений другим лицам, а также при проведении иных мероприятий, которые могут повлиять на техническое состояние «Комплекса» и потребовать дополнительных мер по технической (инженерной) укрепленности «Объекта», письменно уведомить об этом «Охрану» не позднее, чем за 15 дней до наступления таких изменений.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3.2.7. Перед включением «Комплекса» в режим охраны проверять, чтобы на «Объекте» не остались люди, животные, включенные электроприборы, источники огня, запирать двери, окна, форточки, люки и т. д. на запорные и замковые устройства. Осуществлять внешний осмотр средств «Комплекса» на предмет наличия внешних повреждений, либо несанкционированного воздействия на «Комплекс».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Проверять и включать сигнализацию по окончании рабочего дня на объекте, а в случае ее неисправ</w:t>
        <w:softHyphen/>
        <w:t>ности немедленно уведомлять об этом «Охрану», не покидать объект до устранения неисправностей. Не покидать объект, не удостоверившись в принятии его под охрану.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3.2.8. Постановку «Комплекса» под охрану с ПЦН и снятие «Комплекса» из-под охраны производить в соответствии с режимом охраны указанным в Перечне объектов и услуг.</w:t>
      </w:r>
    </w:p>
    <w:p>
      <w:pPr>
        <w:pStyle w:val="Normal"/>
        <w:shd w:val="clear" w:color="auto" w:fill="FFFFFF"/>
        <w:tabs>
          <w:tab w:val="clear" w:pos="709"/>
          <w:tab w:val="left" w:pos="0" w:leader="none"/>
        </w:tabs>
        <w:spacing w:lineRule="auto" w:line="240" w:before="0" w:after="0"/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SimSun" w:cs="Times New Roman" w:ascii="Times New Roman" w:hAnsi="Times New Roman"/>
          <w:sz w:val="26"/>
          <w:szCs w:val="26"/>
          <w:lang w:eastAsia="zh-CN"/>
        </w:rPr>
        <w:t xml:space="preserve">3.2.9. При нахождении «Комплекса» в режиме охраны и необходимости снятия с охраны «Объекта» ранее времени, указанного в Перечне объектов и услуг, незамедлительно сообщать об этом «Охране» по телефонам ПЦО, либо письменно.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3.2.10. Не допускать к средствам «Комплекса» для устранения неисправностей, внесений изменений в схему блокировки «Объекта» посторонних лиц, не производить работы своими силами. О возникших неисправностях немедленно сообщать в обслуживающую организацию и «Охрану».  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3.2.11. В случаях обнаружения «Охраной» признаков проникновения на «Объект», а также при принятии «Охраной» решения о необходимости осмотра и «перезакрытия» «Объекта», прибыть или обеспечить прибытие на «Объект» доверенного лица, в возможно короткий срок, но не позднее чем через два часа после получения сообщения. Сообщение «Клиенту» поступает по телефонной связи на номера телефонов «Клиента» и его доверенных лиц, которые предоставляются «Охране» в соответствии с п. 3.2.4. настоящего Контракта, при этом «Клиент» и его доверенные лица обеспечивают прием телефонных сообщений.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3.2.12. При обнаружении нарушения целостности «Объекта», факта кражи, уничтожения, или повреждения имущества в результате проникновения на «Объект» посторонних лиц, сообщить об этом «Охране». До прибытия представителей «Охраны» обеспечить неприкосновенность места происшествия. По прибытии представителей «Охраны» на место происшествия произвести снятие остатков товарно-материальных ценностей, сопоставляемых с данными бухгалтерского учета на день происшествия.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3.2.13. Обеспечить исправную работу «Комплекса», а также исправность сети электропитания, к которым подключено оборудование «Комплекса», своевременно выполнять предписания «Охраны» об устранении неисправностей и дефектов в работе «Комплекса».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3.2.14. Самостоятельно получать в «Охране» платежные документы (счет, акт выполненных работ, акт сверки и т.д.) необходимые для оплаты услуг по Контракту, либо направить заявку в «Охрану» о предоставлении указанных документов по почте. Своевременно вносить оплату и оплачивать счета, выставляемые согласно условиям настоящего Контракта. Не позднее 15 (пятнадцатого) числа каждого месяца, следующего за отчетным, «Клиент» представляет «Охране» подписанный акт об оказании услуг за отчетный месяц. В случае невозвращения «Охране» надлежаще оформленного акта об оказании услуг или письменных возражений на него, услуги считаются оказанными. При изменении источника финансирования услуг охраны, в кратчайшие сроки письменно информировать об этом «Охрану» (в случае оплаты услуг охраны из бюджетов различных уровней).</w:t>
      </w:r>
    </w:p>
    <w:p>
      <w:pPr>
        <w:pStyle w:val="Normal"/>
        <w:shd w:val="clear" w:color="auto" w:fill="FFFFFF"/>
        <w:tabs>
          <w:tab w:val="clear" w:pos="709"/>
          <w:tab w:val="left" w:pos="771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3.2.15. Заключить договор на техническое обслуживание «Комплекса» с обслуживающей организацией, копию которого предоставить «Охране».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В случае расторжения или приостановления исполнения обязательств по договору на техническое обслуживание, смены обслуживающей организации, в течение суток письменно уведомлять об этом «Охрану».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3.2.16. В сроки, указанные в Акте обследования, но не позднее 30 календарных дней со дня проведения обследования: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3.2.16.1. Устранять выявленные при обследовании и отраженные в Актах обследования недостатки в технической укрепленности охраняемых объектов, средств охраны и связи, в том числе охранной сигнализации; производить капитальный ремонт или замену «Комплекса».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3.2.16.2. Производить капитальный (текущий, внеплановый) и другие виды ремонта или замену «Комплекса» при невозможности его дальнейшей эксплуатации из-за физического износа или необратимого изменения технических параметров вследствие воздействия климатических или производственных факторов, исключающих надежную защиту охраняемого «Объекта», в периоды службы, указанные заводом изготовителем в паспорте на изделие, но не реже одного раза в 8 лет, за счет средств «Клиента».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3.2.17. Направлять в адрес «Охраны» уведомление о возбуждении арбитражным судом в отношении «Клиента» дела о несостоятельности (банкротстве).</w:t>
      </w:r>
      <w:r>
        <w:rPr>
          <w:rStyle w:val="Style22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3"/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3.2.18. Возвратить ОУ по первому требованию «Охраны» или в течение 3-х дней с момента расторжения настоящего Контракта</w:t>
      </w:r>
      <w:r>
        <w:rPr>
          <w:rStyle w:val="Style22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4"/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3.2.19. В течение 1 суток уведомить «Охрану» в случае утраты (потери, кражи) ОУ.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3.2.20. Возместить ущерб «Охране» в размере стоимости ОУ, в случае отказа от его возвращения, повреждения или его утраты (потере, кражи).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3.2.21. Самостоятельно, ежегодно получать от «Охраны» информацию о новых тарифах на услуги «Охраны», применяемые с 1 января в соответствии с законодательством. В случае отсутствия возможности использования сети Интернет, получить вышеуказанную информацию по месту нахождения юридического адреса филиала «Охраны».</w:t>
      </w:r>
    </w:p>
    <w:p>
      <w:pPr>
        <w:pStyle w:val="Normal"/>
        <w:shd w:val="clear" w:color="auto" w:fill="FFFFFF"/>
        <w:tabs>
          <w:tab w:val="clear" w:pos="709"/>
          <w:tab w:val="left" w:pos="771" w:leader="none"/>
        </w:tabs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4. ОТВЕТСТВЕННОСТЬ И ПРАВА СТОРОН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4.1. «Охрана» несет ответственность за ущерб, нанесенный «Клиенту» от кражи, повреждения или уничтожения имущества, в случае не реагирования при поступлении «тревожного» сообщения охранной сигнализации «Комплекса» на ПЦН, в размере прямого действительного ущерба.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4.2. За ущерб, нанесенный «Клиенту» от кражи, повреждения или уничтожения имущества по причине неисправности и/или неработоспособности «Комплекса», «Охрана» ответственности не несет.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4.3. Возмещение материального ущерба по п.4.1. производится «Охраной» после возбуждения уголовного дела, в срок, не превышающий 30 календарных дней, после предоставления «Клиентом» письменного заявления и постановления следственных органов или приговора суда, установивших факт хищения имущества, расчета суммы ущерба, а также факт уничтожения или повреждения имущества «Клиента» посторонними лицами, проникшими на объект, вину «Охраны», причинную связь между ненадлежащим исполнением «Охраной» своих обязанностей по настоящему Контракту и нанесением ущерба имуществу «Клиента».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При отсутствии в вышеуказанных документах данных о ненадлежащем исполнении «Охраной» своих обязательств, вопросы возмещения ущерба решаются по соглашению сторон в претензионном порядке. При не достижении соглашения, спор передается заинтересованной стороной на рассмотрение Арбитражного суда Чукотского автономного округа.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Размер прямого действительного ущерба должен быть подтвержден расчетом стоимости похищенных, уничтоженных или поврежденных материальных ценностей, составленным с участием «Охраны» и сверенным с данными бухгалтерского учета.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Размер ущерба устанавливается инвентаризационной комиссией в следующем порядке: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а) любая из сторон по настоящему Контракту немедленно при обнаружении нарушения целостности охраняемого объекта телефонограммой извещает противоположную сторону, а «Клиент» также о нанесении ущерба его имуществу с предложением направить полномочных представителей для проведения инвентаризации;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б) «Клиент» в тот же день издает приказ (распоряжение) о проведении инвентаризации и определяет состав инвентаризационной комиссии, включая представителей «Охраны», прибывших с письменным подтверждением своих полномочий;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в) полномочные представители сторон проводят инвентаризацию имущества (товаров) «Клиента», сверяют ее результаты с данными бухгалтерского учета на день, предшествующий нанесению ущерба и составляют акт результатов инвентаризации с приложением списка наименований, количества и стоимости конкретных изделий, товаров, иного имущества, похищенного, поврежденного или уничтоженного;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г) акт результатов инвентаризации и приложений составляется не менее чем в двух экземплярах и должен быть подписан всеми членами инвентаризационной комиссии;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д) в случае несогласия любого члена инвентаризационной комиссии с ее результатами, он вправе изложить письменно в заявлении свое мотивированное особое мнение;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е) копии акта результатов инвентаризации с приложениями и заявлениями направляются сторонами по настоящему Контракту в орган, производящий дознание либо предварительное расследование.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4.4. При возвращении «Клиенту» похищенного имущества, «Клиент» возвращает «Охране» денежные средства из общей суммы, полученной от нее в порядке возмещения ущерба в срок, не превышающий 30 (тридцать) календарных дней со дня подписания акта приема-сдачи имущества, составленного в присутствии представителя «Охраны».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4.5. «Охрана» в праве взимать с «Клиента» дополнительную оплату, за реагирование наряда группы задержания на «ложные» сигналы «Тревога» с «Объекта» с выставлением поста (наряда) охраны объекта, в случае неправильных действий «Клиента» по управлению «Комплексом», а также вследствие неисполнения «Клиентом» условий настоящего Контракта. Плата взимается за фактическое время охраны «Объекта» наряда группы задержания в соответствии с установленным тарифом. Расчет времени осуществляется с момента прибытия наряда группы задержания на «Объект» до момента прибытия «Клиента» либо его доверенного лица на «Объект».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4.6.  В случае неприбытия «Клиента» или его доверенного лица на «Объект», в соответствии с п.п. 3.2.11. настоящего Контракта, по истечению двух часов, </w:t>
      </w:r>
      <w:r>
        <w:rPr>
          <w:rFonts w:eastAsia="Times New Roman" w:cs="Times New Roman" w:ascii="Times New Roman" w:hAnsi="Times New Roman"/>
          <w:spacing w:val="-2"/>
          <w:sz w:val="26"/>
          <w:szCs w:val="26"/>
          <w:lang w:eastAsia="ru-RU"/>
        </w:rPr>
        <w:t xml:space="preserve">Охрана» прекращает свои функции по дальнейшему наблюдению за «Объектом».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4.7.  При невыполнении либо ненадлежащем выполнении «Клиентом» в установленные сроки мероприятий, указанных в Акте обследования и/или в предписании «Охраны», а также невыполнения «Клиентом» условий и/или обязательств, предусмотренных настоящим Контрактом, дальнейшая охрана соответствующих «Объектов» с ПЦН автоматически осуществляется «Охраной» без материальной ответственности в случае уничтожения имущества, совершения кражи посторонними лицами, проникшими в охраняемое помещение. Либо «Охрана» вправе в одностороннем порядке приостановить прием по охрану соответствующих объектов до полного выполнения «Клиентом» необходимых мероприятий.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4.8. «Охрана» имеет право после соответствующего уведомления «Клиента» в одностороннем порядке расторгнуть Контракт в случаях, предусмотренных п.п.7.3.3.- 7.3.5. настоящего Контракта.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4.9. В случае несвоевременной оплаты «Клиентом» услуг по настоящему Контракту «Охрана» вправе приостановить исполнение обязательств по настоящему Контракту в одностороннем порядке, сообщив об этом «Клиента» в письменном виде, и возобновить ее после погашения «Клиентом» всех видов задолженности.</w:t>
      </w:r>
    </w:p>
    <w:p>
      <w:pPr>
        <w:pStyle w:val="Normal"/>
        <w:tabs>
          <w:tab w:val="clear" w:pos="709"/>
          <w:tab w:val="left" w:pos="9555" w:leader="none"/>
        </w:tabs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4.10.  «Клиент» несет ответственность за риск случайного повреждения или порчу ОУ, если оно было повреждено или испорчено в связи с ненадлежащим использованием его «Клиентом»,  а также в случае передачи его третьим лицам</w:t>
      </w:r>
      <w:r>
        <w:rPr>
          <w:rStyle w:val="Style22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5"/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. </w:t>
      </w:r>
    </w:p>
    <w:p>
      <w:pPr>
        <w:pStyle w:val="Normal"/>
        <w:shd w:val="clear" w:color="auto" w:fill="FFFFFF"/>
        <w:tabs>
          <w:tab w:val="clear" w:pos="709"/>
          <w:tab w:val="left" w:pos="727" w:leader="none"/>
        </w:tabs>
        <w:spacing w:lineRule="auto" w:line="240"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4.11. «Клиент» имеет право временно не пользоваться услугами «Охраны», письменно уведомив об этом «Охрану» за 15 дней.</w:t>
      </w:r>
    </w:p>
    <w:p>
      <w:pPr>
        <w:pStyle w:val="Normal"/>
        <w:shd w:val="clear" w:color="auto" w:fill="FFFFFF"/>
        <w:tabs>
          <w:tab w:val="clear" w:pos="709"/>
          <w:tab w:val="left" w:pos="727" w:leader="none"/>
        </w:tabs>
        <w:spacing w:lineRule="auto" w:line="240"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4.12. Ответственность за своевременное срабатывание, исправность технических средств сигнализации, установленных на объекте в течение всего срока эксплуатации, поступлении сигнала «Комплекса» технических средств охраны на пункт централизованного наблюдения, а также осуществление комплекса организационно – технических мероприятий планово - предупредительного характера по поддержанию ТСО в состоянии, соответствующем требованиям технической документации несет «Клиент».</w:t>
      </w:r>
    </w:p>
    <w:p>
      <w:pPr>
        <w:pStyle w:val="Normal"/>
        <w:shd w:val="clear" w:color="auto" w:fill="FFFFFF"/>
        <w:tabs>
          <w:tab w:val="clear" w:pos="709"/>
          <w:tab w:val="left" w:pos="727" w:leader="none"/>
        </w:tabs>
        <w:spacing w:lineRule="auto" w:line="240" w:before="0" w:after="0"/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4.13. «Охрана» оставляет за собой право, исключающее реагирования на поступающие сообщения «Тревоги» от «Комплекса» в сверх установленного времени охраны в соответствии с Перечнем охраняемых объектов и услуг (Приложение № 1 к настоящему Контракту), т.е. во вне охраняемое время реагирование на сообщения о срабатывании охранно-пожарной и (или) тревожной сигнализации и  граждан обеспечивается на общих основаниях в соответствии с пунктом 21 части 1 статьи 9 Федерального закона от 03.07.2016 г. №226-ФЗ «О войсках национальной гвардии Российской Федерации» с учетом планов комплексного использования сил и средств ФСВНГ РФ по обеспечению правопорядка в общественных местах.  </w:t>
      </w:r>
    </w:p>
    <w:p>
      <w:pPr>
        <w:pStyle w:val="Normal"/>
        <w:shd w:val="clear" w:color="auto" w:fill="FFFFFF"/>
        <w:tabs>
          <w:tab w:val="clear" w:pos="709"/>
          <w:tab w:val="left" w:pos="727" w:leader="none"/>
        </w:tabs>
        <w:spacing w:lineRule="auto" w:line="240" w:before="0" w:after="0"/>
        <w:ind w:firstLine="426"/>
        <w:jc w:val="both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5. ОБСТОЯТЕЛЬСТВА, ИСКЛЮЧАЮЩИЕ ОТВЕТСТВЕННОСТЬ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  <w:lang w:eastAsia="ru-RU"/>
        </w:rPr>
        <w:t>5.1.</w:t>
        <w:tab/>
        <w:t>«Охрана» освобождается от ответственности в следующих случаях: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5.1.1. При невыполнении «Клиентом» обязательств по настоящему Контракту предусмотренных разделом 2 «Общие условия предоставления услуг «Охраны» настоящего Контракта, и/или несоблюдении требований по инженерно - технической укрепленности объекта, оснащенности техническими средствами охраны и иных мероприятий, предусмотренных актом обследования «Объекта», если действия (бездействие) «Клиента» и его доверенных лиц повлекли за собой кражу, повреждение или уничтожение имущества.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5.1.2. Проникновение совершено в период, когда «Комплекс» не был поставлен «Клиентом» под контроль с ПЦН, либо проникновение совершено в неустановленный настоящим Контрактом режим охраны.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5.1.3. Проникновение совершено в период, когда отсутствовала связь между ПЦН и «Комплексом» по причине неработоспособности или неисправности «Комплекса» «Объекта».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5.1.4. Проникновение совершенно через места, от защиты которых средствами инженерно - технической укрепленности и блокировки средствами «Комплекса» «Клиент» отказался при обследовании «Объекта».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5.1.5. Лица, проникшие на «Объект», задержаны сотрудниками полиции.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5.1.6. За ущерб, связанный с восстановлением строительных конструкций, коммуникаций, электрических сетей, остекленных проемов, имущества, разрушенных либо поврежденных: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- работниками «Охраны» при задержании преступников и правонарушителей;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- посторонним лицом из хулиганских побуждений, а также при проникновении или попытке проникновения на «Объект».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5.1.7. За ущерб, который должен быть возмещен «Клиенту» страховыми компаниями.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5.1.8. Если «Клиент» не выполнил требования п.п. 3.2.10. настоящего Контракта.</w:t>
      </w:r>
    </w:p>
    <w:p>
      <w:pPr>
        <w:pStyle w:val="Normal"/>
        <w:tabs>
          <w:tab w:val="clear" w:pos="709"/>
          <w:tab w:val="left" w:pos="993" w:leader="none"/>
        </w:tabs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5.1.9. При отсутствии у «Клиента» договора на техническое обслуживание «Комплекса».</w:t>
      </w:r>
    </w:p>
    <w:p>
      <w:pPr>
        <w:pStyle w:val="Normal"/>
        <w:tabs>
          <w:tab w:val="clear" w:pos="709"/>
          <w:tab w:val="left" w:pos="993" w:leader="none"/>
        </w:tabs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5.2. «Охрана» не несет ответственность за личное имущество сотрудников «Клиента» и имущество сторонних организаций (третьих лиц), а также за денежные средства, оставленные на объекте сверх суммы остатка, разрешенного кредитным учреждением. </w:t>
      </w:r>
    </w:p>
    <w:p>
      <w:pPr>
        <w:pStyle w:val="Normal"/>
        <w:tabs>
          <w:tab w:val="clear" w:pos="709"/>
          <w:tab w:val="left" w:pos="993" w:leader="none"/>
        </w:tabs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5.3. «Охрана» не несет ответственность при наличии «Форс-мажорных» обстоятельств,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 xml:space="preserve">(обстоятельств непреодолимой силы), если ущерб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причинен в результате пожара, стихийного бедствия, аварии коммунальных сетей, террористического акта,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массовых беспорядков,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 умышленного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повреждения ПЦН.</w:t>
      </w:r>
    </w:p>
    <w:p>
      <w:pPr>
        <w:pStyle w:val="Normal"/>
        <w:shd w:val="clear" w:color="auto" w:fill="FFFFFF"/>
        <w:tabs>
          <w:tab w:val="clear" w:pos="709"/>
          <w:tab w:val="left" w:pos="0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>5.4. В случаях, если «Охрана» докажет отсутствие своей вины.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4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6. ПОРЯДОК ВЗАИМОРАСЧЕТОВ</w:t>
      </w:r>
    </w:p>
    <w:p>
      <w:pPr>
        <w:pStyle w:val="Normal"/>
        <w:spacing w:lineRule="auto" w:line="240" w:before="0" w:after="0"/>
        <w:ind w:firstLine="540"/>
        <w:jc w:val="center"/>
        <w:rPr>
          <w:rFonts w:ascii="Times New Roman" w:hAnsi="Times New Roman" w:eastAsia="Times New Roman" w:cs="Times New Roman"/>
          <w:b/>
          <w:b/>
          <w:color w:val="FF0000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color w:val="FF0000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FF0000"/>
          <w:sz w:val="26"/>
          <w:szCs w:val="26"/>
        </w:rPr>
        <w:tab/>
      </w:r>
      <w:r>
        <w:rPr>
          <w:rFonts w:cs="Times New Roman" w:ascii="Times New Roman" w:hAnsi="Times New Roman"/>
          <w:sz w:val="26"/>
          <w:szCs w:val="26"/>
        </w:rPr>
        <w:t xml:space="preserve">6.1. </w:t>
      </w:r>
      <w:r>
        <w:rPr>
          <w:rFonts w:ascii="Times New Roman" w:hAnsi="Times New Roman"/>
          <w:sz w:val="26"/>
          <w:szCs w:val="26"/>
        </w:rPr>
        <w:t xml:space="preserve">Сумма оплаты в год составляет 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 xml:space="preserve">6.2. Размер оплаты за услуги, оказываемые «Охраной» указывается в Перечне объектов и услуг (Приложение № 1 к настоящему Контракту) и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может меняться в соответствии с условиями настоящего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Контракту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>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6.3. Стоимость услуг «Охраны» НДС не облагается.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6.4. Расчетным периодом считается календарный месяц.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6.4.1. Оплата по настоящему Контракту производится «Клиентом» на основании подписанного сторонами Акта об оказанных услуг и предоставленных «Охраной» счета и счета фактуры, путем перечисления денежных средств на расчетный счет «Охраны» в течении 10-ти банковских дней с даты подписания Акта об оказании услуг.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6.4.2. В случае превышения фактического времени охраны с помощью технических средств над расчетным, указанным в перечне услуг, оплата производится по дополнительно выставленному счету и акту выполненных работ до 20 числа месяца, следующего за отчетным.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6.4.3. Фактом оплаты признается поступление денежных средств на расчетный счет «Охраны».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6.4.4. Оплата услуг «Охраны» в декабре производится не позднее 25 числа текущего месяца.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6.5. Изменение размера оплаты по настоящему Контракту производится ежегодно с 01 января при изменении действующих тарифов, в соответствии с нормативными актами Правительства РФ. Изменение тарифов влечет за собой автоматическое изменение оплаты, установленной для «Клиента». При наступлении указанного основания «Клиент» оплачивает услуги по новой цене после оформления нового Перечня объектов и услуг и подписания дополнительного соглашения. </w:t>
      </w:r>
    </w:p>
    <w:p>
      <w:pPr>
        <w:pStyle w:val="Normal"/>
        <w:tabs>
          <w:tab w:val="left" w:pos="426" w:leader="none"/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6.6. Платежи, не включенные в оплату, производятся «Клиентом» в момент внесения (перечисления) очередной оплаты, согласно действующим тарифам, утвержденным ФГКУ «ОВО ВНГ России по Чукотскому автономному округу».</w:t>
      </w:r>
    </w:p>
    <w:p>
      <w:pPr>
        <w:pStyle w:val="Normal"/>
        <w:shd w:val="clear" w:color="auto" w:fill="FFFFFF"/>
        <w:tabs>
          <w:tab w:val="clear" w:pos="709"/>
          <w:tab w:val="left" w:pos="466" w:leader="none"/>
        </w:tabs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6.7. В случае досрочного расторжения настоящего Контракта, сторонами проводятся взаиморасчеты, исходя из стоимости фактически оказанных услуг.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6.8. В случае несвоевременной оплаты «Клиентом» услуг по настоящему Контракту «Охрана» может начислить пени в соответствии с действующим законодательством.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6.9. Ответственность за получение документов, указанных в пп.3.2.14. Контракта возлагается на «Клиента». Неполучение «Клиентом» документов, необходимых для оплаты услуг «Охраны» не освобождает «Клиента» от надлежащего исполнения им своих обязательств по своевременной и полной оплате по настоящему Контракту.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hd w:val="clear" w:color="auto" w:fill="FFFFFF"/>
        <w:tabs>
          <w:tab w:val="clear" w:pos="709"/>
          <w:tab w:val="left" w:pos="398" w:leader="none"/>
          <w:tab w:val="left" w:pos="3660" w:leader="none"/>
          <w:tab w:val="center" w:pos="5130" w:leader="none"/>
        </w:tabs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7. ДЕЙСТВИЕ КОНТРАКТА</w:t>
      </w:r>
    </w:p>
    <w:p>
      <w:pPr>
        <w:pStyle w:val="Normal"/>
        <w:shd w:val="clear" w:color="auto" w:fill="FFFFFF"/>
        <w:tabs>
          <w:tab w:val="clear" w:pos="709"/>
          <w:tab w:val="left" w:pos="398" w:leader="none"/>
        </w:tabs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7.1. 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Настоящий государственный контракт вступает в силу с момента подписания его «Сторонами» и действует </w:t>
      </w:r>
      <w:r>
        <w:rPr>
          <w:rFonts w:eastAsia="Times New Roman" w:cs="Times New Roman" w:ascii="Times New Roman" w:hAnsi="Times New Roman"/>
          <w:b/>
          <w:sz w:val="26"/>
          <w:szCs w:val="26"/>
        </w:rPr>
        <w:t>с «» 2025 года по «» 2025 год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>а,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 а в части исполнения финансовых обязательств до полного их исполнения Сторонами.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7.2. Стороны вправе расторгнуть настоящий Контракт досрочно. При этом заинтересованная в расторжении сторона письменно уведомляет об этом другую сторону за 15 дней.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7.3. «Охрана» расторгает Контракт в одностороннем порядке с уведомлением «Клиента» в следующих случаях: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7.3.1.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>В случае выявления недостоверности предоставленных «Клиентом» сведений об</w:t>
      </w:r>
      <w:r>
        <w:rPr>
          <w:rFonts w:eastAsia="Times New Roman" w:cs="Times New Roman" w:ascii="Times New Roman" w:hAnsi="Times New Roman"/>
          <w:spacing w:val="1"/>
          <w:sz w:val="26"/>
          <w:szCs w:val="26"/>
          <w:lang w:eastAsia="ru-RU"/>
        </w:rPr>
        <w:t xml:space="preserve"> «Объекте» или иных помещений, входящих в состав «Объекта», как объекта недвижимости, возникновении споров о праве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 собственности на «Объект», владения и управления имуществом.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7.3.2. В случае несвоевременной оплаты «Клиентом» услуг по настоящему Контракту.</w:t>
      </w:r>
    </w:p>
    <w:p>
      <w:pPr>
        <w:pStyle w:val="Normal"/>
        <w:tabs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7.3.3. Необеспечения контрагентом эксплуатационного обслуживания средств тревожной и охранно-пожарной сигнализации обслуживающей организацией.</w:t>
      </w:r>
    </w:p>
    <w:p>
      <w:pPr>
        <w:pStyle w:val="Normal"/>
        <w:tabs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7.3.4. В случае не устранения «Клиентом» выявленных и отраженных в Актах обследования недостатков в технической укрепленности охраняемых объектов, средств охраны и связи, в том числе охранной сигнализации установленный п. 3.2.16.1.  Контракта срок.</w:t>
      </w:r>
    </w:p>
    <w:p>
      <w:pPr>
        <w:pStyle w:val="Normal"/>
        <w:tabs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7.3.5. В случае невыполнения «Клиентом» п. 3.2.17. Контракта или несоблюдения установленных п. 3.2.16.2. Контракта сроков проведения капитального ремонта или замены «Комплекса»;</w:t>
      </w:r>
    </w:p>
    <w:p>
      <w:pPr>
        <w:pStyle w:val="Standard"/>
        <w:ind w:left="5" w:right="5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  <w:t>7.3.6.</w:t>
      </w:r>
      <w:r>
        <w:rPr>
          <w:rFonts w:cs="Times New Roman" w:ascii="Times New Roman" w:hAnsi="Times New Roman"/>
          <w:sz w:val="26"/>
          <w:szCs w:val="26"/>
        </w:rPr>
        <w:t xml:space="preserve"> в случае изменения местонахождения или в случае </w:t>
      </w:r>
      <w:r>
        <w:rPr>
          <w:rFonts w:eastAsia="Times New Roman" w:cs="Times New Roman" w:ascii="Times New Roman" w:hAnsi="Times New Roman"/>
          <w:sz w:val="26"/>
          <w:szCs w:val="26"/>
          <w:lang w:eastAsia="ar-SA"/>
        </w:rPr>
        <w:t>ликвидации</w:t>
      </w:r>
      <w:r>
        <w:rPr>
          <w:rFonts w:cs="Times New Roman" w:ascii="Times New Roman" w:hAnsi="Times New Roman"/>
          <w:sz w:val="26"/>
          <w:szCs w:val="26"/>
        </w:rPr>
        <w:t xml:space="preserve"> «Исполнителя».  </w:t>
      </w:r>
      <w:r>
        <w:rPr>
          <w:rFonts w:eastAsia="Times New Roman" w:cs="Times New Roman" w:ascii="Times New Roman" w:hAnsi="Times New Roman"/>
          <w:sz w:val="26"/>
          <w:szCs w:val="26"/>
          <w:lang w:eastAsia="ar-SA"/>
        </w:rPr>
        <w:t>«Исполнитель» обязан</w:t>
      </w:r>
      <w:r>
        <w:rPr>
          <w:rFonts w:cs="Times New Roman" w:ascii="Times New Roman" w:hAnsi="Times New Roman"/>
          <w:sz w:val="26"/>
          <w:szCs w:val="26"/>
        </w:rPr>
        <w:t xml:space="preserve"> за 15 (пятнадцать) календарных дней письменно известить об этом другую Сторону.</w:t>
      </w:r>
    </w:p>
    <w:p>
      <w:pPr>
        <w:pStyle w:val="Normal"/>
        <w:tabs>
          <w:tab w:val="left" w:pos="709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7.4. В случае отказа от оплаты услуг по измененному тарифу, устанавливаемому в соответствии с п. 6.4. настоящего Контракта, стороны приходят к соглашению о расторжении настоящего Контракта. Взаиморасчеты при расторжении контракта производятся исходя из стоимости фактически оказанных услуг.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7.5. Все споры по настоящему Контракту должны решаться сторонами путем переговоров, в случае невозможности достичь согласия – в Арбитражном суде Чукотского автономного округа.</w:t>
      </w:r>
    </w:p>
    <w:p>
      <w:pPr>
        <w:pStyle w:val="Normal"/>
        <w:shd w:val="clear" w:color="auto" w:fill="FFFFFF"/>
        <w:tabs>
          <w:tab w:val="clear" w:pos="709"/>
          <w:tab w:val="left" w:pos="758" w:leader="none"/>
          <w:tab w:val="left" w:pos="11758" w:leader="none"/>
        </w:tabs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7.6. Условия настоящего Контракта могут быть изменены по соглашению сторон, а также «Охраной» в одностороннем порядке с уведомлением об этом «Клиента», на основании законодательства РФ, нормативных актов Правительства РФ, приказов (указаний, распоряжений) ОФСВНГ России, ФГКУ «ОВО ВНГ России по Чукотскому автономному округу».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8. ПРОЧИЕ УСЛОВИЯ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8.1. Уведомление об изменении стоимости охранных услуг, реквизитов и иных положений Контракта осуществляется «Охраной» путем опубликования соответствующей информации в периодической печати или направления уведомлений в декабре каждого года.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 Дополнительно уведомление осуществляется «Охраной» любыми доступными способами, в том числе: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8.2.1. посредством почтовых отправлений;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8.2.2. телефонограммой или телеграммой;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8.2.3. по факсимильной связи;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8.2.4. посредством электронной почты;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8.2.5. посредством мгновенных сообщений и </w:t>
      </w:r>
      <w:r>
        <w:rPr>
          <w:rFonts w:eastAsia="Times New Roman" w:cs="Times New Roman" w:ascii="Times New Roman" w:hAnsi="Times New Roman"/>
          <w:sz w:val="26"/>
          <w:szCs w:val="26"/>
          <w:lang w:val="en-US" w:eastAsia="ru-RU"/>
        </w:rPr>
        <w:t>sms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-сообщений на мобильный телефон;</w:t>
      </w:r>
    </w:p>
    <w:p>
      <w:pPr>
        <w:pStyle w:val="Normal"/>
        <w:tabs>
          <w:tab w:val="clear" w:pos="709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8.2.6. с использованием иных средств связи и доставки.</w:t>
      </w:r>
    </w:p>
    <w:p>
      <w:pPr>
        <w:pStyle w:val="Normal"/>
        <w:tabs>
          <w:tab w:val="clear" w:pos="709"/>
          <w:tab w:val="left" w:pos="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8.3. Уведомление об изменении условий Контракта способами, указанными в п. 8.1, п. 8.2 является надлежащим.</w:t>
      </w:r>
    </w:p>
    <w:p>
      <w:pPr>
        <w:pStyle w:val="Normal"/>
        <w:tabs>
          <w:tab w:val="clear" w:pos="709"/>
          <w:tab w:val="left" w:pos="0" w:leader="none"/>
        </w:tabs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Если в течение 15 календарных дней, с момента уведомления «Клиента» «Охрана» не получит письменный отказ от принятия изменений, это будет означать согласие «Клиента» с указанными изменениями.</w:t>
      </w:r>
    </w:p>
    <w:p>
      <w:pPr>
        <w:pStyle w:val="Normal"/>
        <w:tabs>
          <w:tab w:val="clear" w:pos="709"/>
          <w:tab w:val="left" w:pos="0" w:leader="none"/>
        </w:tabs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Письменный отказ «Клиента» от принятия изменений рассматривается как уведомление о досрочном расторжении Контракта.</w:t>
      </w:r>
    </w:p>
    <w:p>
      <w:pPr>
        <w:pStyle w:val="Normal"/>
        <w:tabs>
          <w:tab w:val="clear" w:pos="709"/>
          <w:tab w:val="left" w:pos="0" w:leader="none"/>
        </w:tabs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B0F0"/>
          <w:sz w:val="26"/>
          <w:szCs w:val="26"/>
          <w:lang w:eastAsia="ru-RU"/>
        </w:rPr>
        <w:tab/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8.4. Отсутствие у «Охраны» сведений о получении уведомления «Клиентом» не является препятствием для перерасчета тарифов со дня их изменения.</w:t>
      </w:r>
    </w:p>
    <w:p>
      <w:pPr>
        <w:pStyle w:val="Normal"/>
        <w:tabs>
          <w:tab w:val="clear" w:pos="709"/>
          <w:tab w:val="left" w:pos="0" w:leader="none"/>
        </w:tabs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8.5. Контактная информация, необходимая для рассылки уведомлений, указана в (Приложении № 3 к настоящему Контракту).</w:t>
      </w:r>
    </w:p>
    <w:p>
      <w:pPr>
        <w:pStyle w:val="Normal"/>
        <w:tabs>
          <w:tab w:val="clear" w:pos="709"/>
          <w:tab w:val="left" w:pos="0" w:leader="none"/>
        </w:tabs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8.6. В случае изменения контактной информации, указанной в (Приложении № 3 к настоящему Контракту), «Клиент» обязан проинформировать «Охрану» о произошедших изменениях. В случае, если изменения произошли, но «Клиент» о них не проинформировал, все последующие уведомления производятся на адреса и телефоны, указанные «Клиентом».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8.7. В соответствии с Федеральным законом от 27 июля 2006 года № 152-ФЗ «О персональных данных» (в редакции от 21.07.2014 г.) «Клиент», подписав настоящий Контракт, дает согласие на обработку, включая сбор, систематизацию, накопление, хранение, уточнение, использование, распространение, уничтожение своих персональных данных с использованием средств автоматизации или без использования таких средств.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8.8. Настоящий Контракт с приложениями (1,2) составлен в 2-х экземплярах, каждый из которых имеет одинаковую юридическую силу. Первый находится у «Охраны», второй - у «Клиента».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9. ЮРИДИЧЕСКИЕ АДРЕСА И БАНКОВСКИЕ РЕКВИЗИТЫ СТОРОН:</w:t>
      </w:r>
    </w:p>
    <w:tbl>
      <w:tblPr>
        <w:tblW w:w="9426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4747"/>
        <w:gridCol w:w="4678"/>
      </w:tblGrid>
      <w:tr>
        <w:trPr>
          <w:trHeight w:val="153" w:hRule="atLeast"/>
        </w:trPr>
        <w:tc>
          <w:tcPr>
            <w:tcW w:w="4747" w:type="dxa"/>
            <w:tcBorders/>
          </w:tcPr>
          <w:p>
            <w:pPr>
              <w:pStyle w:val="Normal"/>
              <w:spacing w:lineRule="auto" w:line="240" w:before="0" w:after="0"/>
              <w:ind w:right="-15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  <w:lang w:eastAsia="ru-RU"/>
              </w:rPr>
              <w:t>"Клиент"</w:t>
            </w:r>
          </w:p>
        </w:tc>
        <w:tc>
          <w:tcPr>
            <w:tcW w:w="4678" w:type="dxa"/>
            <w:tcBorders/>
          </w:tcPr>
          <w:p>
            <w:pPr>
              <w:pStyle w:val="Normal"/>
              <w:spacing w:lineRule="auto" w:line="240" w:before="0" w:after="0"/>
              <w:ind w:right="-15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  <w:lang w:eastAsia="ru-RU"/>
              </w:rPr>
              <w:t>"Охрана"</w:t>
            </w:r>
          </w:p>
        </w:tc>
      </w:tr>
      <w:tr>
        <w:trPr>
          <w:trHeight w:val="320" w:hRule="atLeast"/>
        </w:trPr>
        <w:tc>
          <w:tcPr>
            <w:tcW w:w="4747" w:type="dxa"/>
            <w:tcBorders/>
          </w:tcPr>
          <w:p>
            <w:pPr>
              <w:pStyle w:val="Normal"/>
              <w:spacing w:lineRule="atLeast" w:line="240" w:before="0" w:after="0"/>
              <w:ind w:right="213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/>
            </w:r>
          </w:p>
        </w:tc>
        <w:tc>
          <w:tcPr>
            <w:tcW w:w="4678" w:type="dxa"/>
            <w:tcBorders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 xml:space="preserve">Федеральное государственное казённое учреждение «Отдел вневедомственной охраны войск национальной гвардии Российской Федерации по Чукотскому автономному округу» </w:t>
            </w: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>(ФГКУ «ОВО ВНГ России по Чукотскому автономному округу»)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Юридический адрес: 689000, г. Анадырь, ул. Горького, 5, тел. 8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(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42722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) 2-43-18, 2-87-02</w:t>
            </w:r>
          </w:p>
          <w:p>
            <w:pPr>
              <w:pStyle w:val="Normal"/>
              <w:spacing w:lineRule="auto" w:line="240" w:before="0" w:after="0"/>
              <w:ind w:left="0" w:right="-1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6"/>
                <w:szCs w:val="26"/>
                <w:lang w:eastAsia="ru-RU"/>
              </w:rPr>
              <w:t xml:space="preserve">ИНН 8709014329, КПП 870901001. Банк: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6"/>
                <w:szCs w:val="26"/>
                <w:lang w:eastAsia="ru-RU"/>
              </w:rPr>
              <w:t>ОКЦ № 11 Дальневосточного ГУ Банка России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 w:eastAsia="ru-RU"/>
              </w:rPr>
              <w:t xml:space="preserve">//УФК ПО ЧУКОТКОМУ АВТОНОМНОМУ ОКРУГУ г. Анадырь, БИК 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 w:eastAsia="ru-RU"/>
              </w:rPr>
              <w:t>017719101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 w:eastAsia="ru-RU"/>
              </w:rPr>
              <w:t xml:space="preserve">, р/с 03100643000000018800, к/с 40102810745370000064, ОКТМО 77701000,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УФК по Чукотскому автономному округу (ФГКУ </w:t>
            </w:r>
            <w:r>
              <w:rPr>
                <w:rStyle w:val="Style18"/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/>
              </w:rPr>
              <w:t xml:space="preserve">«ОВО ВНГ России по Чукотскому автономному округу», л/с 04881D17680), ОГРН 1128709001277, ОКПО 08686362, КБК 18011301081017000130, </w:t>
            </w:r>
          </w:p>
          <w:p>
            <w:pPr>
              <w:pStyle w:val="Normal"/>
              <w:tabs>
                <w:tab w:val="clear" w:pos="709"/>
                <w:tab w:val="left" w:pos="-3402" w:leader="none"/>
                <w:tab w:val="left" w:pos="0" w:leader="none"/>
              </w:tabs>
              <w:spacing w:lineRule="auto" w:line="240" w:before="0" w:after="0"/>
              <w:ind w:left="0" w:right="-1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/>
              </w:rPr>
              <w:t>E-mail:ostrovskayatv@rosgvard.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/>
              </w:rPr>
              <w:t>ru</w:t>
            </w:r>
          </w:p>
        </w:tc>
      </w:tr>
    </w:tbl>
    <w:p>
      <w:pPr>
        <w:pStyle w:val="Normal"/>
        <w:tabs>
          <w:tab w:val="clear" w:pos="709"/>
          <w:tab w:val="right" w:pos="9641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right" w:pos="9641" w:leader="none"/>
        </w:tabs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ПОДПИСИ СТОРОН:</w:t>
      </w:r>
    </w:p>
    <w:p>
      <w:pPr>
        <w:pStyle w:val="Normal"/>
        <w:tabs>
          <w:tab w:val="clear" w:pos="709"/>
          <w:tab w:val="right" w:pos="9641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tbl>
      <w:tblPr>
        <w:tblW w:w="946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502"/>
        <w:gridCol w:w="4961"/>
      </w:tblGrid>
      <w:tr>
        <w:trPr/>
        <w:tc>
          <w:tcPr>
            <w:tcW w:w="4502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«Клиент»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___________________//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МП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__ _____________20__г.</w:t>
            </w:r>
          </w:p>
        </w:tc>
        <w:tc>
          <w:tcPr>
            <w:tcW w:w="4961" w:type="dxa"/>
            <w:tcBorders/>
          </w:tcPr>
          <w:p>
            <w:pPr>
              <w:pStyle w:val="Normal"/>
              <w:spacing w:lineRule="auto" w:line="240" w:before="0" w:after="0"/>
              <w:ind w:left="459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          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«Охрана»</w:t>
            </w:r>
          </w:p>
          <w:p>
            <w:pPr>
              <w:pStyle w:val="Normal"/>
              <w:spacing w:lineRule="auto" w:line="240" w:before="0" w:after="0"/>
              <w:ind w:left="459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4"/>
                <w:szCs w:val="24"/>
                <w:lang w:val="ru-RU" w:eastAsia="ru-RU" w:bidi="ar-SA"/>
              </w:rPr>
              <w:t>Н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ачальник ФГКУ «ОВО ВНГ России по Чукотскому автономному округу»</w:t>
            </w:r>
          </w:p>
          <w:p>
            <w:pPr>
              <w:pStyle w:val="Normal"/>
              <w:spacing w:lineRule="auto" w:line="240" w:before="0" w:after="0"/>
              <w:ind w:left="459" w:hanging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left="459" w:hanging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left="459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_____________________/</w:t>
            </w:r>
          </w:p>
          <w:p>
            <w:pPr>
              <w:pStyle w:val="Normal"/>
              <w:spacing w:lineRule="auto" w:line="240" w:before="0" w:after="0"/>
              <w:ind w:left="459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МП</w:t>
            </w:r>
          </w:p>
          <w:p>
            <w:pPr>
              <w:pStyle w:val="Normal"/>
              <w:spacing w:lineRule="auto" w:line="240" w:before="0" w:after="0"/>
              <w:ind w:left="459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__  _____________20__г.</w:t>
            </w:r>
          </w:p>
        </w:tc>
      </w:tr>
    </w:tbl>
    <w:p>
      <w:pPr>
        <w:pStyle w:val="Normal"/>
        <w:spacing w:lineRule="auto" w:line="259" w:before="0" w:after="160"/>
        <w:rPr>
          <w:rFonts w:ascii="Times New Roman" w:hAnsi="Times New Roman"/>
          <w:sz w:val="24"/>
          <w:szCs w:val="24"/>
        </w:rPr>
      </w:pPr>
      <w:r>
        <w:rPr/>
      </w:r>
    </w:p>
    <w:sectPr>
      <w:footerReference w:type="default" r:id="rId2"/>
      <w:footnotePr>
        <w:numFmt w:val="decimal"/>
      </w:footnotePr>
      <w:type w:val="nextPage"/>
      <w:pgSz w:w="11906" w:h="16838"/>
      <w:pgMar w:left="1701" w:right="850" w:header="0" w:top="1134" w:footer="708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  <w:font w:name="Arial Black">
    <w:charset w:val="01"/>
    <w:family w:val="roman"/>
    <w:pitch w:val="default"/>
  </w:font>
  <w:font w:name="PT Astra Serif">
    <w:charset w:val="01"/>
    <w:family w:val="roman"/>
    <w:pitch w:val="default"/>
  </w:font>
  <w:font w:name="Arial Unicode MS">
    <w:charset w:val="01"/>
    <w:family w:val="roman"/>
    <w:pitch w:val="default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39"/>
        <w:rPr>
          <w:sz w:val="16"/>
          <w:szCs w:val="16"/>
        </w:rPr>
      </w:pPr>
      <w:r>
        <w:rPr>
          <w:rStyle w:val="Style23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Действие п.п. 1.5.,1.6. распространяется при согласии «Клиента» использовать «Оконечное устройство», числящееся на балансе «Охраны».</w:t>
      </w:r>
    </w:p>
  </w:footnote>
  <w:footnote w:id="3">
    <w:p>
      <w:pPr>
        <w:pStyle w:val="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Style23"/>
        </w:rPr>
        <w:footnoteRef/>
      </w:r>
      <w:r>
        <w:rPr>
          <w:rFonts w:cs="Times New Roman" w:ascii="Times New Roman" w:hAnsi="Times New Roman"/>
          <w:sz w:val="16"/>
          <w:szCs w:val="16"/>
          <w:shd w:fill="FFFFFF" w:val="clear"/>
        </w:rPr>
        <w:t>Действие пп. 3.2.18. Контракта распространяется на юридических лиц, которые могут быть признаны несостоятельными (банкротами) в соответствии с Гражданским кодексом Российской Федерации</w:t>
      </w:r>
      <w:r>
        <w:rPr>
          <w:rFonts w:cs="Times New Roman" w:ascii="Times New Roman" w:hAnsi="Times New Roman"/>
          <w:sz w:val="16"/>
          <w:szCs w:val="16"/>
        </w:rPr>
        <w:t>.</w:t>
      </w:r>
    </w:p>
    <w:p>
      <w:pPr>
        <w:pStyle w:val="Style39"/>
        <w:rPr>
          <w:sz w:val="16"/>
          <w:szCs w:val="16"/>
        </w:rPr>
      </w:pPr>
      <w:r>
        <w:rPr/>
      </w:r>
    </w:p>
  </w:footnote>
  <w:footnote w:id="4">
    <w:p>
      <w:pPr>
        <w:pStyle w:val="Style39"/>
        <w:rPr>
          <w:sz w:val="16"/>
          <w:szCs w:val="16"/>
        </w:rPr>
      </w:pPr>
      <w:r>
        <w:rPr>
          <w:rStyle w:val="Style23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Действие подпунктов 3.2.19., 3.2.20., 3.2.21. распространяется в случае согласия «Клиента» использовать «Оконечное устройство», числящееся на балансе «Охраны».</w:t>
      </w:r>
    </w:p>
  </w:footnote>
  <w:footnote w:id="5">
    <w:p>
      <w:pPr>
        <w:pStyle w:val="Style39"/>
        <w:rPr>
          <w:sz w:val="16"/>
          <w:szCs w:val="16"/>
        </w:rPr>
      </w:pPr>
      <w:r>
        <w:rPr>
          <w:rStyle w:val="Style23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Действие п.4.10. действует при согласии «Клиента» использовать «Оконечное устройство», числящееся на балансе «Охраны».</w:t>
      </w:r>
    </w:p>
  </w:footnote>
</w:footnotes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3" w:uiPriority="0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Body Text 3" w:uiPriority="0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Plain Text" w:uiPriority="0"/>
    <w:lsdException w:name="Balloon Tex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c53a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link w:val="a3"/>
    <w:qFormat/>
    <w:rsid w:val="002a7f34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Style15" w:customStyle="1">
    <w:name w:val="Нижний колонтитул Знак"/>
    <w:basedOn w:val="DefaultParagraphFont"/>
    <w:link w:val="a5"/>
    <w:qFormat/>
    <w:rsid w:val="002a7f34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2a7f34"/>
    <w:rPr/>
  </w:style>
  <w:style w:type="character" w:styleId="Style16" w:customStyle="1">
    <w:name w:val="Текст Знак"/>
    <w:basedOn w:val="DefaultParagraphFont"/>
    <w:link w:val="a8"/>
    <w:qFormat/>
    <w:rsid w:val="002a7f34"/>
    <w:rPr>
      <w:rFonts w:ascii="Courier New" w:hAnsi="Courier New" w:eastAsia="Times New Roman" w:cs="Times New Roman"/>
      <w:sz w:val="20"/>
      <w:szCs w:val="20"/>
      <w:lang w:eastAsia="ru-RU"/>
    </w:rPr>
  </w:style>
  <w:style w:type="character" w:styleId="Style17" w:customStyle="1">
    <w:name w:val="Текст выноски Знак"/>
    <w:basedOn w:val="DefaultParagraphFont"/>
    <w:link w:val="aa"/>
    <w:qFormat/>
    <w:rsid w:val="002a7f34"/>
    <w:rPr>
      <w:rFonts w:ascii="Tahoma" w:hAnsi="Tahoma" w:eastAsia="Times New Roman" w:cs="Tahoma"/>
      <w:sz w:val="16"/>
      <w:szCs w:val="16"/>
      <w:lang w:eastAsia="ru-RU"/>
    </w:rPr>
  </w:style>
  <w:style w:type="character" w:styleId="Style18" w:customStyle="1">
    <w:name w:val="Интернет-ссылка"/>
    <w:basedOn w:val="DefaultParagraphFont"/>
    <w:uiPriority w:val="99"/>
    <w:unhideWhenUsed/>
    <w:rsid w:val="003e4c24"/>
    <w:rPr>
      <w:color w:val="0000FF" w:themeColor="hyperlink"/>
      <w:u w:val="single"/>
    </w:rPr>
  </w:style>
  <w:style w:type="character" w:styleId="Style19" w:customStyle="1">
    <w:name w:val="Текст концевой сноски Знак"/>
    <w:basedOn w:val="DefaultParagraphFont"/>
    <w:link w:val="ae"/>
    <w:qFormat/>
    <w:rsid w:val="002a7f34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20">
    <w:name w:val="Привязка концевой сноски"/>
    <w:rPr>
      <w:vertAlign w:val="superscript"/>
    </w:rPr>
  </w:style>
  <w:style w:type="character" w:styleId="EndnoteCharacters">
    <w:name w:val="Endnote Characters"/>
    <w:qFormat/>
    <w:rsid w:val="002a7f34"/>
    <w:rPr>
      <w:vertAlign w:val="superscript"/>
    </w:rPr>
  </w:style>
  <w:style w:type="character" w:styleId="Style21" w:customStyle="1">
    <w:name w:val="Текст сноски Знак"/>
    <w:basedOn w:val="DefaultParagraphFont"/>
    <w:link w:val="af1"/>
    <w:qFormat/>
    <w:rsid w:val="002a7f34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22">
    <w:name w:val="Привязка сноски"/>
    <w:rPr>
      <w:vertAlign w:val="superscript"/>
    </w:rPr>
  </w:style>
  <w:style w:type="character" w:styleId="FootnoteCharacters">
    <w:name w:val="Footnote Characters"/>
    <w:qFormat/>
    <w:rsid w:val="002a7f34"/>
    <w:rPr>
      <w:vertAlign w:val="superscript"/>
    </w:rPr>
  </w:style>
  <w:style w:type="character" w:styleId="3" w:customStyle="1">
    <w:name w:val="Основной текст 3 Знак"/>
    <w:basedOn w:val="DefaultParagraphFont"/>
    <w:link w:val="30"/>
    <w:qFormat/>
    <w:rsid w:val="002a7f34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Style23">
    <w:name w:val="Символ сноски"/>
    <w:qFormat/>
    <w:rPr/>
  </w:style>
  <w:style w:type="character" w:styleId="Style24">
    <w:name w:val="Символ концевой сноски"/>
    <w:qFormat/>
    <w:rPr/>
  </w:style>
  <w:style w:type="character" w:styleId="S1">
    <w:name w:val="s1"/>
    <w:qFormat/>
    <w:rPr>
      <w:rFonts w:eastAsia="Times New Roman"/>
    </w:rPr>
  </w:style>
  <w:style w:type="character" w:styleId="Style25">
    <w:name w:val="Основной текст_"/>
    <w:qFormat/>
    <w:rPr>
      <w:shd w:fill="FFFFFF" w:val="clear"/>
    </w:rPr>
  </w:style>
  <w:style w:type="character" w:styleId="HTML">
    <w:name w:val="Стандартный HTML Знак"/>
    <w:qFormat/>
    <w:rPr>
      <w:rFonts w:ascii="Courier New" w:hAnsi="Courier New" w:eastAsia="Courier New"/>
      <w:color w:val="000000"/>
      <w:sz w:val="20"/>
      <w:szCs w:val="20"/>
    </w:rPr>
  </w:style>
  <w:style w:type="character" w:styleId="Style26">
    <w:name w:val="Верхний колонтитул Знак"/>
    <w:qFormat/>
    <w:rPr>
      <w:rFonts w:ascii="Times New Roman" w:hAnsi="Times New Roman" w:eastAsia="Times New Roman"/>
      <w:sz w:val="20"/>
      <w:szCs w:val="20"/>
    </w:rPr>
  </w:style>
  <w:style w:type="character" w:styleId="2">
    <w:name w:val="Знак Знак2"/>
    <w:qFormat/>
    <w:rPr>
      <w:sz w:val="24"/>
    </w:rPr>
  </w:style>
  <w:style w:type="character" w:styleId="Style27">
    <w:name w:val="Название Знак"/>
    <w:qFormat/>
    <w:rPr>
      <w:rFonts w:ascii="Times New Roman" w:hAnsi="Times New Roman" w:eastAsia="Times New Roman"/>
      <w:b/>
      <w:sz w:val="20"/>
      <w:szCs w:val="20"/>
    </w:rPr>
  </w:style>
  <w:style w:type="character" w:styleId="21">
    <w:name w:val="Основной текст 2 Знак"/>
    <w:qFormat/>
    <w:rPr>
      <w:rFonts w:ascii="Times New Roman" w:hAnsi="Times New Roman" w:eastAsia="Times New Roman"/>
      <w:sz w:val="20"/>
      <w:szCs w:val="20"/>
    </w:rPr>
  </w:style>
  <w:style w:type="character" w:styleId="22">
    <w:name w:val="Основной текст с отступом 2 Знак"/>
    <w:qFormat/>
    <w:rPr>
      <w:rFonts w:ascii="Times New Roman" w:hAnsi="Times New Roman" w:eastAsia="Times New Roman"/>
      <w:sz w:val="20"/>
      <w:szCs w:val="20"/>
    </w:rPr>
  </w:style>
  <w:style w:type="character" w:styleId="Style28">
    <w:name w:val="Основной текст Знак"/>
    <w:qFormat/>
    <w:rPr>
      <w:rFonts w:eastAsia="Times New Roman"/>
    </w:rPr>
  </w:style>
  <w:style w:type="character" w:styleId="31">
    <w:name w:val="Основной текст с отступом 3 Знак"/>
    <w:qFormat/>
    <w:rPr>
      <w:rFonts w:eastAsia="Times New Roman"/>
      <w:szCs w:val="16"/>
    </w:rPr>
  </w:style>
  <w:style w:type="character" w:styleId="1">
    <w:name w:val="Заголовок 1 Знак"/>
    <w:qFormat/>
    <w:rPr>
      <w:rFonts w:ascii="Times New Roman" w:hAnsi="Times New Roman" w:eastAsia="Times New Roman"/>
      <w:b/>
      <w:sz w:val="20"/>
      <w:szCs w:val="20"/>
    </w:rPr>
  </w:style>
  <w:style w:type="character" w:styleId="Style29">
    <w:name w:val="Основной шрифт абзаца"/>
    <w:qFormat/>
    <w:rPr/>
  </w:style>
  <w:style w:type="character" w:styleId="WW8Num45z1">
    <w:name w:val="WW8Num45z1"/>
    <w:qFormat/>
    <w:rPr>
      <w:rFonts w:eastAsia="Times New Roman"/>
    </w:rPr>
  </w:style>
  <w:style w:type="character" w:styleId="WW8Num45z0">
    <w:name w:val="WW8Num45z0"/>
    <w:qFormat/>
    <w:rPr>
      <w:rFonts w:eastAsia="Times New Roman"/>
    </w:rPr>
  </w:style>
  <w:style w:type="character" w:styleId="WW8Num44z1">
    <w:name w:val="WW8Num44z1"/>
    <w:qFormat/>
    <w:rPr>
      <w:rFonts w:eastAsia="Times New Roman"/>
    </w:rPr>
  </w:style>
  <w:style w:type="character" w:styleId="WW8Num44z0">
    <w:name w:val="WW8Num44z0"/>
    <w:qFormat/>
    <w:rPr>
      <w:rFonts w:eastAsia="Times New Roman"/>
    </w:rPr>
  </w:style>
  <w:style w:type="character" w:styleId="WW8Num43z0">
    <w:name w:val="WW8Num43z0"/>
    <w:qFormat/>
    <w:rPr>
      <w:rFonts w:ascii="Times New Roman" w:hAnsi="Times New Roman" w:eastAsia="Times New Roman"/>
      <w:b w:val="false"/>
    </w:rPr>
  </w:style>
  <w:style w:type="character" w:styleId="WW8Num42z2">
    <w:name w:val="WW8Num42z2"/>
    <w:qFormat/>
    <w:rPr>
      <w:rFonts w:eastAsia="Times New Roman"/>
      <w:szCs w:val="28"/>
    </w:rPr>
  </w:style>
  <w:style w:type="character" w:styleId="WW8Num42z1">
    <w:name w:val="WW8Num42z1"/>
    <w:qFormat/>
    <w:rPr>
      <w:rFonts w:eastAsia="Times New Roman"/>
      <w:szCs w:val="24"/>
    </w:rPr>
  </w:style>
  <w:style w:type="character" w:styleId="WW8Num42z0">
    <w:name w:val="WW8Num42z0"/>
    <w:qFormat/>
    <w:rPr>
      <w:rFonts w:eastAsia="Times New Roman"/>
    </w:rPr>
  </w:style>
  <w:style w:type="character" w:styleId="WW8Num41z0">
    <w:name w:val="WW8Num41z0"/>
    <w:qFormat/>
    <w:rPr>
      <w:rFonts w:eastAsia="Times New Roman"/>
    </w:rPr>
  </w:style>
  <w:style w:type="character" w:styleId="WW8Num40z0">
    <w:name w:val="WW8Num40z0"/>
    <w:qFormat/>
    <w:rPr>
      <w:rFonts w:eastAsia="Times New Roman"/>
      <w:bCs/>
    </w:rPr>
  </w:style>
  <w:style w:type="character" w:styleId="WW8Num39z1">
    <w:name w:val="WW8Num39z1"/>
    <w:qFormat/>
    <w:rPr>
      <w:rFonts w:eastAsia="Times New Roman"/>
    </w:rPr>
  </w:style>
  <w:style w:type="character" w:styleId="WW8Num39z0">
    <w:name w:val="WW8Num39z0"/>
    <w:qFormat/>
    <w:rPr>
      <w:rFonts w:eastAsia="Times New Roman"/>
    </w:rPr>
  </w:style>
  <w:style w:type="character" w:styleId="WW8Num38z0">
    <w:name w:val="WW8Num38z0"/>
    <w:qFormat/>
    <w:rPr>
      <w:rFonts w:eastAsia="Times New Roman"/>
    </w:rPr>
  </w:style>
  <w:style w:type="character" w:styleId="WW8Num37z0">
    <w:name w:val="WW8Num37z0"/>
    <w:qFormat/>
    <w:rPr>
      <w:rFonts w:eastAsia="Times New Roman"/>
    </w:rPr>
  </w:style>
  <w:style w:type="character" w:styleId="WW8Num36z1">
    <w:name w:val="WW8Num36z1"/>
    <w:qFormat/>
    <w:rPr>
      <w:rFonts w:eastAsia="Times New Roman"/>
    </w:rPr>
  </w:style>
  <w:style w:type="character" w:styleId="WW8Num36z0">
    <w:name w:val="WW8Num36z0"/>
    <w:qFormat/>
    <w:rPr>
      <w:rFonts w:eastAsia="Times New Roman"/>
      <w:bCs/>
    </w:rPr>
  </w:style>
  <w:style w:type="character" w:styleId="WW8Num35z1">
    <w:name w:val="WW8Num35z1"/>
    <w:qFormat/>
    <w:rPr>
      <w:rFonts w:eastAsia="Times New Roman"/>
    </w:rPr>
  </w:style>
  <w:style w:type="character" w:styleId="WW8Num35z0">
    <w:name w:val="WW8Num35z0"/>
    <w:qFormat/>
    <w:rPr>
      <w:rFonts w:eastAsia="Times New Roman"/>
    </w:rPr>
  </w:style>
  <w:style w:type="character" w:styleId="WW8Num34z1">
    <w:name w:val="WW8Num34z1"/>
    <w:qFormat/>
    <w:rPr>
      <w:rFonts w:eastAsia="Times New Roman"/>
    </w:rPr>
  </w:style>
  <w:style w:type="character" w:styleId="WW8Num34z0">
    <w:name w:val="WW8Num34z0"/>
    <w:qFormat/>
    <w:rPr>
      <w:rFonts w:eastAsia="Times New Roman"/>
    </w:rPr>
  </w:style>
  <w:style w:type="character" w:styleId="WW8Num33z1">
    <w:name w:val="WW8Num33z1"/>
    <w:qFormat/>
    <w:rPr>
      <w:rFonts w:eastAsia="Times New Roman"/>
    </w:rPr>
  </w:style>
  <w:style w:type="character" w:styleId="WW8Num33z0">
    <w:name w:val="WW8Num33z0"/>
    <w:qFormat/>
    <w:rPr>
      <w:rFonts w:eastAsia="Times New Roman"/>
    </w:rPr>
  </w:style>
  <w:style w:type="character" w:styleId="WW8Num32z0">
    <w:name w:val="WW8Num32z0"/>
    <w:qFormat/>
    <w:rPr>
      <w:rFonts w:eastAsia="Times New Roman"/>
    </w:rPr>
  </w:style>
  <w:style w:type="character" w:styleId="WW8Num31z1">
    <w:name w:val="WW8Num31z1"/>
    <w:qFormat/>
    <w:rPr>
      <w:rFonts w:eastAsia="Times New Roman"/>
    </w:rPr>
  </w:style>
  <w:style w:type="character" w:styleId="WW8Num31z0">
    <w:name w:val="WW8Num31z0"/>
    <w:qFormat/>
    <w:rPr>
      <w:rFonts w:eastAsia="Times New Roman"/>
      <w:bCs/>
    </w:rPr>
  </w:style>
  <w:style w:type="character" w:styleId="WW8Num30z1">
    <w:name w:val="WW8Num30z1"/>
    <w:qFormat/>
    <w:rPr>
      <w:rFonts w:eastAsia="Times New Roman"/>
    </w:rPr>
  </w:style>
  <w:style w:type="character" w:styleId="WW8Num30z0">
    <w:name w:val="WW8Num30z0"/>
    <w:qFormat/>
    <w:rPr>
      <w:rFonts w:eastAsia="Times New Roman"/>
    </w:rPr>
  </w:style>
  <w:style w:type="character" w:styleId="WW8Num29z1">
    <w:name w:val="WW8Num29z1"/>
    <w:qFormat/>
    <w:rPr>
      <w:rFonts w:eastAsia="Times New Roman"/>
    </w:rPr>
  </w:style>
  <w:style w:type="character" w:styleId="WW8Num29z0">
    <w:name w:val="WW8Num29z0"/>
    <w:qFormat/>
    <w:rPr>
      <w:rFonts w:eastAsia="Times New Roman"/>
      <w:bCs/>
    </w:rPr>
  </w:style>
  <w:style w:type="character" w:styleId="WW8Num28z0">
    <w:name w:val="WW8Num28z0"/>
    <w:qFormat/>
    <w:rPr>
      <w:rFonts w:eastAsia="Times New Roman"/>
    </w:rPr>
  </w:style>
  <w:style w:type="character" w:styleId="WW8Num27z1">
    <w:name w:val="WW8Num27z1"/>
    <w:qFormat/>
    <w:rPr>
      <w:rFonts w:eastAsia="Times New Roman"/>
    </w:rPr>
  </w:style>
  <w:style w:type="character" w:styleId="WW8Num27z0">
    <w:name w:val="WW8Num27z0"/>
    <w:qFormat/>
    <w:rPr>
      <w:rFonts w:eastAsia="Times New Roman"/>
    </w:rPr>
  </w:style>
  <w:style w:type="character" w:styleId="WW8Num26z0">
    <w:name w:val="WW8Num26z0"/>
    <w:qFormat/>
    <w:rPr>
      <w:rFonts w:eastAsia="Times New Roman"/>
    </w:rPr>
  </w:style>
  <w:style w:type="character" w:styleId="WW8Num25z1">
    <w:name w:val="WW8Num25z1"/>
    <w:qFormat/>
    <w:rPr>
      <w:rFonts w:eastAsia="Times New Roman"/>
    </w:rPr>
  </w:style>
  <w:style w:type="character" w:styleId="WW8Num25z0">
    <w:name w:val="WW8Num25z0"/>
    <w:qFormat/>
    <w:rPr>
      <w:rFonts w:eastAsia="Times New Roman"/>
      <w:bCs/>
    </w:rPr>
  </w:style>
  <w:style w:type="character" w:styleId="WW8Num24z1">
    <w:name w:val="WW8Num24z1"/>
    <w:qFormat/>
    <w:rPr>
      <w:rFonts w:eastAsia="Times New Roman"/>
      <w:color w:val="000000"/>
    </w:rPr>
  </w:style>
  <w:style w:type="character" w:styleId="WW8Num24z0">
    <w:name w:val="WW8Num24z0"/>
    <w:qFormat/>
    <w:rPr>
      <w:rFonts w:eastAsia="Times New Roman"/>
    </w:rPr>
  </w:style>
  <w:style w:type="character" w:styleId="WW8Num23z0">
    <w:name w:val="WW8Num23z0"/>
    <w:qFormat/>
    <w:rPr>
      <w:rFonts w:eastAsia="Times New Roman"/>
    </w:rPr>
  </w:style>
  <w:style w:type="character" w:styleId="WW8Num22z1">
    <w:name w:val="WW8Num22z1"/>
    <w:qFormat/>
    <w:rPr>
      <w:rFonts w:eastAsia="Times New Roman"/>
    </w:rPr>
  </w:style>
  <w:style w:type="character" w:styleId="WW8Num22z0">
    <w:name w:val="WW8Num22z0"/>
    <w:qFormat/>
    <w:rPr>
      <w:rFonts w:eastAsia="Times New Roman"/>
    </w:rPr>
  </w:style>
  <w:style w:type="character" w:styleId="WW8Num21z1">
    <w:name w:val="WW8Num21z1"/>
    <w:qFormat/>
    <w:rPr>
      <w:rFonts w:eastAsia="Times New Roman"/>
    </w:rPr>
  </w:style>
  <w:style w:type="character" w:styleId="WW8Num21z0">
    <w:name w:val="WW8Num21z0"/>
    <w:qFormat/>
    <w:rPr>
      <w:rFonts w:eastAsia="Times New Roman"/>
    </w:rPr>
  </w:style>
  <w:style w:type="character" w:styleId="WW8Num20z0">
    <w:name w:val="WW8Num20z0"/>
    <w:qFormat/>
    <w:rPr>
      <w:rFonts w:eastAsia="Times New Roman"/>
    </w:rPr>
  </w:style>
  <w:style w:type="character" w:styleId="WW8Num19z0">
    <w:name w:val="WW8Num19z0"/>
    <w:qFormat/>
    <w:rPr>
      <w:rFonts w:eastAsia="Times New Roman"/>
    </w:rPr>
  </w:style>
  <w:style w:type="character" w:styleId="WW8Num18z0">
    <w:name w:val="WW8Num18z0"/>
    <w:qFormat/>
    <w:rPr>
      <w:rFonts w:eastAsia="Times New Roman"/>
      <w:bCs/>
    </w:rPr>
  </w:style>
  <w:style w:type="character" w:styleId="WW8Num17z0">
    <w:name w:val="WW8Num17z0"/>
    <w:qFormat/>
    <w:rPr/>
  </w:style>
  <w:style w:type="character" w:styleId="WW8Num16z1">
    <w:name w:val="WW8Num16z1"/>
    <w:qFormat/>
    <w:rPr>
      <w:rFonts w:ascii="Courier New" w:hAnsi="Courier New" w:eastAsia="Courier New"/>
    </w:rPr>
  </w:style>
  <w:style w:type="character" w:styleId="WW8Num16z0">
    <w:name w:val="WW8Num16z0"/>
    <w:qFormat/>
    <w:rPr>
      <w:rFonts w:ascii="Times New Roman" w:hAnsi="Times New Roman" w:eastAsia="Times New Roman"/>
    </w:rPr>
  </w:style>
  <w:style w:type="character" w:styleId="WW8Num15z8">
    <w:name w:val="WW8Num15z8"/>
    <w:qFormat/>
    <w:rPr/>
  </w:style>
  <w:style w:type="character" w:styleId="WW8Num15z7">
    <w:name w:val="WW8Num15z7"/>
    <w:qFormat/>
    <w:rPr/>
  </w:style>
  <w:style w:type="character" w:styleId="WW8Num15z6">
    <w:name w:val="WW8Num15z6"/>
    <w:qFormat/>
    <w:rPr/>
  </w:style>
  <w:style w:type="character" w:styleId="WW8Num15z5">
    <w:name w:val="WW8Num15z5"/>
    <w:qFormat/>
    <w:rPr/>
  </w:style>
  <w:style w:type="character" w:styleId="WW8Num15z4">
    <w:name w:val="WW8Num15z4"/>
    <w:qFormat/>
    <w:rPr/>
  </w:style>
  <w:style w:type="character" w:styleId="WW8Num15z3">
    <w:name w:val="WW8Num15z3"/>
    <w:qFormat/>
    <w:rPr/>
  </w:style>
  <w:style w:type="character" w:styleId="WW8Num15z2">
    <w:name w:val="WW8Num15z2"/>
    <w:qFormat/>
    <w:rPr/>
  </w:style>
  <w:style w:type="character" w:styleId="WW8Num15z1">
    <w:name w:val="WW8Num15z1"/>
    <w:qFormat/>
    <w:rPr/>
  </w:style>
  <w:style w:type="character" w:styleId="WW8Num15z0">
    <w:name w:val="WW8Num15z0"/>
    <w:qFormat/>
    <w:rPr/>
  </w:style>
  <w:style w:type="character" w:styleId="WW8Num14z1">
    <w:name w:val="WW8Num14z1"/>
    <w:qFormat/>
    <w:rPr>
      <w:rFonts w:eastAsia="Times New Roman"/>
    </w:rPr>
  </w:style>
  <w:style w:type="character" w:styleId="WW8Num14z0">
    <w:name w:val="WW8Num14z0"/>
    <w:qFormat/>
    <w:rPr>
      <w:rFonts w:eastAsia="Times New Roman"/>
    </w:rPr>
  </w:style>
  <w:style w:type="character" w:styleId="WW8Num13z1">
    <w:name w:val="WW8Num13z1"/>
    <w:qFormat/>
    <w:rPr>
      <w:rFonts w:eastAsia="Times New Roman"/>
    </w:rPr>
  </w:style>
  <w:style w:type="character" w:styleId="WW8Num13z0">
    <w:name w:val="WW8Num13z0"/>
    <w:qFormat/>
    <w:rPr>
      <w:rFonts w:eastAsia="Times New Roman"/>
      <w:bCs w:val="false"/>
    </w:rPr>
  </w:style>
  <w:style w:type="character" w:styleId="WW8Num12z1">
    <w:name w:val="WW8Num12z1"/>
    <w:qFormat/>
    <w:rPr>
      <w:rFonts w:eastAsia="Times New Roman"/>
      <w:bCs w:val="false"/>
    </w:rPr>
  </w:style>
  <w:style w:type="character" w:styleId="WW8Num12z0">
    <w:name w:val="WW8Num12z0"/>
    <w:qFormat/>
    <w:rPr>
      <w:rFonts w:eastAsia="Times New Roman"/>
      <w:bCs/>
    </w:rPr>
  </w:style>
  <w:style w:type="character" w:styleId="WW8Num11z1">
    <w:name w:val="WW8Num11z1"/>
    <w:qFormat/>
    <w:rPr>
      <w:rFonts w:eastAsia="Times New Roman"/>
    </w:rPr>
  </w:style>
  <w:style w:type="character" w:styleId="WW8Num11z0">
    <w:name w:val="WW8Num11z0"/>
    <w:qFormat/>
    <w:rPr>
      <w:rFonts w:eastAsia="Times New Roman"/>
      <w:bCs w:val="false"/>
    </w:rPr>
  </w:style>
  <w:style w:type="character" w:styleId="WW8Num9z0">
    <w:name w:val="WW8Num9z0"/>
    <w:qFormat/>
    <w:rPr/>
  </w:style>
  <w:style w:type="character" w:styleId="WW8Num4z0">
    <w:name w:val="WW8Num4z0"/>
    <w:qFormat/>
    <w:rPr/>
  </w:style>
  <w:style w:type="character" w:styleId="WW8Num3z0">
    <w:name w:val="WW8Num3z0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Style30">
    <w:name w:val="Заголовок"/>
    <w:basedOn w:val="Normal"/>
    <w:next w:val="Style31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31">
    <w:name w:val="Body Text"/>
    <w:basedOn w:val="Normal"/>
    <w:pPr>
      <w:spacing w:lineRule="auto" w:line="276" w:before="0" w:after="140"/>
    </w:pPr>
    <w:rPr/>
  </w:style>
  <w:style w:type="paragraph" w:styleId="Style32">
    <w:name w:val="List"/>
    <w:basedOn w:val="Style31"/>
    <w:pPr/>
    <w:rPr>
      <w:rFonts w:ascii="PT Sans" w:hAnsi="PT Sans" w:cs="Noto Sans Devanagari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1" w:customStyle="1">
    <w:name w:val="Стиль1"/>
    <w:basedOn w:val="Normal"/>
    <w:qFormat/>
    <w:rsid w:val="002a7f34"/>
    <w:pPr>
      <w:pBdr>
        <w:top w:val="dashSmallGap" w:sz="8" w:space="1" w:color="000080"/>
        <w:left w:val="dashSmallGap" w:sz="8" w:space="4" w:color="000080"/>
        <w:bottom w:val="dashSmallGap" w:sz="8" w:space="1" w:color="000080"/>
        <w:right w:val="dashSmallGap" w:sz="8" w:space="4" w:color="000080"/>
      </w:pBdr>
      <w:spacing w:lineRule="auto" w:line="360" w:before="120" w:after="120"/>
      <w:jc w:val="center"/>
    </w:pPr>
    <w:rPr>
      <w:rFonts w:ascii="Arial Black" w:hAnsi="Arial Black" w:eastAsia="Times New Roman" w:cs="Times New Roman"/>
      <w:b/>
      <w:sz w:val="28"/>
      <w:szCs w:val="24"/>
      <w:lang w:eastAsia="ru-RU"/>
    </w:rPr>
  </w:style>
  <w:style w:type="paragraph" w:styleId="Style35">
    <w:name w:val="Body Text Indent"/>
    <w:basedOn w:val="Normal"/>
    <w:link w:val="a4"/>
    <w:rsid w:val="002a7f34"/>
    <w:pPr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sz w:val="24"/>
      <w:szCs w:val="20"/>
      <w:lang w:eastAsia="ru-RU"/>
    </w:rPr>
  </w:style>
  <w:style w:type="paragraph" w:styleId="Style36">
    <w:name w:val="Верхний и нижний колонтитулы"/>
    <w:basedOn w:val="Normal"/>
    <w:qFormat/>
    <w:pPr/>
    <w:rPr/>
  </w:style>
  <w:style w:type="paragraph" w:styleId="Style37">
    <w:name w:val="Footer"/>
    <w:basedOn w:val="Normal"/>
    <w:link w:val="a6"/>
    <w:rsid w:val="002a7f34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lainText">
    <w:name w:val="Plain Text"/>
    <w:basedOn w:val="Normal"/>
    <w:link w:val="a9"/>
    <w:qFormat/>
    <w:rsid w:val="002a7f34"/>
    <w:pPr>
      <w:spacing w:lineRule="auto" w:line="240" w:before="0" w:after="0"/>
    </w:pPr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ListBullet4">
    <w:name w:val="List Bullet 4"/>
    <w:basedOn w:val="Normal"/>
    <w:qFormat/>
    <w:rsid w:val="002a7f34"/>
    <w:pPr>
      <w:spacing w:lineRule="auto" w:line="240" w:before="0" w:after="0"/>
      <w:ind w:left="849" w:hanging="283"/>
    </w:pPr>
    <w:rPr>
      <w:rFonts w:ascii="Times New Roman" w:hAnsi="Times New Roman" w:eastAsia="Times New Roman" w:cs="Times New Roman"/>
      <w:color w:val="000000"/>
      <w:sz w:val="28"/>
      <w:szCs w:val="17"/>
      <w:lang w:eastAsia="ru-RU"/>
    </w:rPr>
  </w:style>
  <w:style w:type="paragraph" w:styleId="BalloonText">
    <w:name w:val="Balloon Text"/>
    <w:basedOn w:val="Normal"/>
    <w:link w:val="ab"/>
    <w:qFormat/>
    <w:rsid w:val="002a7f34"/>
    <w:pPr>
      <w:spacing w:lineRule="auto" w:line="240" w:before="0" w:after="0"/>
    </w:pPr>
    <w:rPr>
      <w:rFonts w:ascii="Tahoma" w:hAnsi="Tahoma" w:eastAsia="Times New Roman" w:cs="Tahoma"/>
      <w:sz w:val="16"/>
      <w:szCs w:val="16"/>
      <w:lang w:eastAsia="ru-RU"/>
    </w:rPr>
  </w:style>
  <w:style w:type="paragraph" w:styleId="ListParagraph">
    <w:name w:val="List Paragraph"/>
    <w:basedOn w:val="Normal"/>
    <w:uiPriority w:val="34"/>
    <w:qFormat/>
    <w:rsid w:val="002a7f34"/>
    <w:pPr>
      <w:spacing w:lineRule="auto" w:line="240" w:before="0" w:after="0"/>
      <w:ind w:left="720" w:hanging="0"/>
      <w:contextualSpacing/>
    </w:pPr>
    <w:rPr>
      <w:rFonts w:ascii="Times New Roman" w:hAnsi="Times New Roman" w:eastAsia="SimSun" w:cs="Times New Roman"/>
      <w:sz w:val="24"/>
      <w:szCs w:val="24"/>
      <w:lang w:eastAsia="zh-CN"/>
    </w:rPr>
  </w:style>
  <w:style w:type="paragraph" w:styleId="Style38">
    <w:name w:val="Endnote Text"/>
    <w:basedOn w:val="Normal"/>
    <w:link w:val="af"/>
    <w:rsid w:val="002a7f34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Style39">
    <w:name w:val="Footnote Text"/>
    <w:basedOn w:val="Normal"/>
    <w:link w:val="af2"/>
    <w:rsid w:val="002a7f34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odyText3">
    <w:name w:val="Body Text 3"/>
    <w:basedOn w:val="Normal"/>
    <w:link w:val="31"/>
    <w:qFormat/>
    <w:rsid w:val="002a7f34"/>
    <w:pPr>
      <w:spacing w:lineRule="auto" w:line="240" w:before="0" w:after="120"/>
    </w:pPr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styleId="Standard" w:customStyle="1">
    <w:name w:val="Standard"/>
    <w:qFormat/>
    <w:rsid w:val="003e4c24"/>
    <w:pPr>
      <w:widowControl w:val="false"/>
      <w:suppressAutoHyphens w:val="true"/>
      <w:bidi w:val="0"/>
      <w:spacing w:lineRule="auto" w:line="240" w:before="0" w:after="0"/>
      <w:jc w:val="center"/>
      <w:textAlignment w:val="baseline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ar-SA"/>
    </w:rPr>
  </w:style>
  <w:style w:type="paragraph" w:styleId="Style40">
    <w:name w:val="Содержимое врезки"/>
    <w:basedOn w:val="Normal"/>
    <w:qFormat/>
    <w:pPr/>
    <w:rPr/>
  </w:style>
  <w:style w:type="paragraph" w:styleId="Xl19">
    <w:name w:val="xl19"/>
    <w:basedOn w:val="Normal"/>
    <w:qFormat/>
    <w:pPr>
      <w:spacing w:lineRule="exact" w:line="240" w:before="280" w:after="280"/>
    </w:pPr>
    <w:rPr>
      <w:rFonts w:ascii="Arial Unicode MS" w:hAnsi="Arial Unicode MS" w:eastAsia="Arial Unicode MS"/>
      <w:b/>
      <w:bCs/>
      <w:lang w:eastAsia="ar-SA"/>
    </w:rPr>
  </w:style>
  <w:style w:type="paragraph" w:styleId="Style41">
    <w:name w:val="Маркированный список"/>
    <w:basedOn w:val="Normal"/>
    <w:qFormat/>
    <w:pPr>
      <w:spacing w:lineRule="exact" w:line="240" w:before="0" w:after="0"/>
      <w:jc w:val="both"/>
    </w:pPr>
    <w:rPr>
      <w:rFonts w:ascii="Times New Roman" w:hAnsi="Times New Roman" w:eastAsia="Times New Roman"/>
      <w:lang w:eastAsia="ar-SA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Liberation Serif"/>
      <w:color w:val="auto"/>
      <w:kern w:val="2"/>
      <w:sz w:val="22"/>
      <w:szCs w:val="22"/>
      <w:lang w:val="ru-RU" w:eastAsia="ar-SA" w:bidi="ar-SA"/>
    </w:rPr>
  </w:style>
  <w:style w:type="paragraph" w:styleId="12">
    <w:name w:val="Основной текст1"/>
    <w:basedOn w:val="Normal"/>
    <w:qFormat/>
    <w:pPr>
      <w:shd w:fill="FFFFFF"/>
      <w:spacing w:lineRule="exact" w:line="259" w:before="0" w:after="240"/>
      <w:jc w:val="center"/>
    </w:pPr>
    <w:rPr>
      <w:sz w:val="20"/>
    </w:rPr>
  </w:style>
  <w:style w:type="paragraph" w:styleId="HTML1">
    <w:name w:val="Стандартный HTML"/>
    <w:basedOn w:val="Normal"/>
    <w:qFormat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exact" w:line="240" w:before="0" w:after="0"/>
    </w:pPr>
    <w:rPr>
      <w:rFonts w:ascii="Courier New" w:hAnsi="Courier New" w:eastAsia="Courier New"/>
      <w:color w:val="000000"/>
      <w:sz w:val="20"/>
      <w:szCs w:val="20"/>
      <w:lang w:eastAsia="ar-SA"/>
    </w:rPr>
  </w:style>
  <w:style w:type="paragraph" w:styleId="Style42">
    <w:name w:val="Текст выноски"/>
    <w:basedOn w:val="Normal"/>
    <w:qFormat/>
    <w:pPr>
      <w:spacing w:lineRule="exact" w:line="240" w:before="0" w:after="0"/>
    </w:pPr>
    <w:rPr>
      <w:rFonts w:ascii="Tahoma" w:hAnsi="Tahoma" w:eastAsia="Tahoma"/>
      <w:sz w:val="16"/>
      <w:szCs w:val="16"/>
      <w:lang w:eastAsia="ar-SA"/>
    </w:rPr>
  </w:style>
  <w:style w:type="paragraph" w:styleId="Style43">
    <w:name w:val="Таблицы (моноширинный)"/>
    <w:basedOn w:val="Normal"/>
    <w:qFormat/>
    <w:pPr>
      <w:widowControl w:val="false"/>
      <w:spacing w:lineRule="exact" w:line="240" w:before="0" w:after="0"/>
      <w:jc w:val="both"/>
    </w:pPr>
    <w:rPr>
      <w:rFonts w:ascii="Courier New" w:hAnsi="Courier New" w:eastAsia="Courier New"/>
      <w:sz w:val="20"/>
      <w:szCs w:val="20"/>
      <w:lang w:eastAsia="ar-SA"/>
    </w:rPr>
  </w:style>
  <w:style w:type="paragraph" w:styleId="111">
    <w:name w:val="Обычный + 11"/>
    <w:basedOn w:val="Normal"/>
    <w:qFormat/>
    <w:pPr>
      <w:spacing w:lineRule="exact" w:line="240" w:before="0" w:after="60"/>
      <w:jc w:val="both"/>
    </w:pPr>
    <w:rPr>
      <w:rFonts w:ascii="Times New Roman" w:hAnsi="Times New Roman" w:eastAsia="Times New Roman"/>
      <w:sz w:val="23"/>
      <w:szCs w:val="23"/>
      <w:lang w:eastAsia="ar-SA"/>
    </w:rPr>
  </w:style>
  <w:style w:type="paragraph" w:styleId="23">
    <w:name w:val="Основной текст 2"/>
    <w:basedOn w:val="Normal"/>
    <w:qFormat/>
    <w:pPr>
      <w:widowControl w:val="false"/>
      <w:spacing w:lineRule="exact" w:line="480" w:before="0" w:after="120"/>
    </w:pPr>
    <w:rPr>
      <w:rFonts w:ascii="Times New Roman" w:hAnsi="Times New Roman" w:eastAsia="Times New Roman"/>
      <w:sz w:val="20"/>
      <w:szCs w:val="20"/>
      <w:lang w:eastAsia="ar-SA"/>
    </w:rPr>
  </w:style>
  <w:style w:type="paragraph" w:styleId="24">
    <w:name w:val="Основной текст с отступом 2"/>
    <w:basedOn w:val="Normal"/>
    <w:qFormat/>
    <w:pPr>
      <w:widowControl w:val="false"/>
      <w:spacing w:lineRule="exact" w:line="480" w:before="0" w:after="120"/>
      <w:ind w:left="283" w:hanging="0"/>
    </w:pPr>
    <w:rPr>
      <w:rFonts w:ascii="Times New Roman" w:hAnsi="Times New Roman" w:eastAsia="Times New Roman"/>
      <w:sz w:val="20"/>
      <w:szCs w:val="20"/>
      <w:lang w:eastAsia="ar-SA"/>
    </w:rPr>
  </w:style>
  <w:style w:type="paragraph" w:styleId="32">
    <w:name w:val="Основной текст с отступом 3"/>
    <w:basedOn w:val="Normal"/>
    <w:qFormat/>
    <w:pPr>
      <w:spacing w:before="0" w:after="120"/>
      <w:ind w:left="283" w:hanging="0"/>
    </w:pPr>
    <w:rPr>
      <w:sz w:val="16"/>
    </w:rPr>
  </w:style>
  <w:style w:type="paragraph" w:styleId="ConsNonformat">
    <w:name w:val="Con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Liberation Serif"/>
      <w:color w:val="auto"/>
      <w:kern w:val="2"/>
      <w:sz w:val="20"/>
      <w:szCs w:val="20"/>
      <w:lang w:val="ru-RU" w:eastAsia="ar-SA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13" w:customStyle="1">
    <w:name w:val="Нет списка1"/>
    <w:semiHidden/>
    <w:unhideWhenUsed/>
    <w:qFormat/>
    <w:rsid w:val="002a7f34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Application>LibreOffice/6.4.7.2$Linux_X86_64 LibreOffice_project/40$Build-2</Application>
  <Pages>14</Pages>
  <Words>4398</Words>
  <Characters>31714</Characters>
  <CharactersWithSpaces>36125</CharactersWithSpaces>
  <Paragraphs>166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dc:language>ru-RU</dc:language>
  <cp:lastModifiedBy/>
  <dcterms:modified xsi:type="dcterms:W3CDTF">2025-12-17T11:11:59Z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