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  <w:t>Государственный контракт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на оказание охранных услуг с помощью тревожной сигнализации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г. Анадырь</w:t>
        <w:tab/>
        <w:tab/>
        <w:t xml:space="preserve">                                                                     «___» ________ 20 ___г.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Федеральное государственное казенное учреждение «Отдел вневедомственной охраны войск национальной гвардии Российской Федерации по Чукотскому автономному округу», именуемое в дальнейшем </w:t>
      </w: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  <w:t>«Охрана»,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 в лице начальника ,  действующего на основании , с одной стороны, и</w:t>
      </w:r>
      <w:r>
        <w:rPr>
          <w:rFonts w:eastAsia="Times New Roman" w:cs="Times New Roman" w:ascii="Times New Roman" w:hAnsi="Times New Roman"/>
          <w:bCs/>
          <w:sz w:val="26"/>
          <w:szCs w:val="26"/>
          <w:lang w:eastAsia="ru-RU"/>
        </w:rPr>
        <w:t xml:space="preserve"> Прокуратура Чукотского автономного округа, именуемое в дальнейшем </w:t>
      </w:r>
      <w:r>
        <w:rPr>
          <w:rFonts w:eastAsia="Times New Roman" w:cs="Times New Roman" w:ascii="Times New Roman" w:hAnsi="Times New Roman"/>
          <w:b/>
          <w:bCs/>
          <w:sz w:val="26"/>
          <w:szCs w:val="26"/>
          <w:lang w:eastAsia="ru-RU"/>
        </w:rPr>
        <w:t>«Клиент»</w:t>
      </w:r>
      <w:r>
        <w:rPr>
          <w:rFonts w:eastAsia="Times New Roman" w:cs="Times New Roman" w:ascii="Times New Roman" w:hAnsi="Times New Roman"/>
          <w:bCs/>
          <w:sz w:val="26"/>
          <w:szCs w:val="26"/>
          <w:lang w:eastAsia="ru-RU"/>
        </w:rPr>
        <w:t>,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 в лице заместителя прокурора </w:t>
      </w: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  <w:t xml:space="preserve">, 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действующе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й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  с другой стороны, совместно именуемые «Стороны», в соответствии с пунктом 6 </w:t>
      </w:r>
      <w:r>
        <w:rPr>
          <w:rFonts w:eastAsia="Calibri" w:cs="Times New Roman" w:ascii="Times New Roman" w:hAnsi="Times New Roman"/>
          <w:sz w:val="26"/>
          <w:szCs w:val="26"/>
        </w:rPr>
        <w:t xml:space="preserve">части 1 статьи 93 Федерального закона от 05.04.2013 г. № 44-ФЗ «О Контрактной системе в сфере закупок товаров, работ, услуг для обеспечения Государственных и муниципальных нужд», заключили настоящий Государственный контракт (далее - Контракт) 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о нижеследующем: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  <w:t>1. ПРЕДМЕТ КОНТРАКТА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b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1.1. «Охрана» оказывает охранные услуги «Клиенту» в зданиях, помещениях и их частях или в комбинациях (далее – «Объект»), оборудованных действующим комплексом технических средств охраны (далее – тревожной сигнализацией) в соответствии  разделом 2 настоящего Контракта.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1.2. Услуги, оказываемые «Охраной», заключаются: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1.2.1. В приеме и регистрации тревожных сообщений (под «тревожными сообщениями» понимаются сообщения информаторного принципа действия, в случае нападения с целью хищения, угрозы жизни и здоровья), передаваемых «Клиентом» с «Объекта» на пульт централизованного наблюдения (далее – ПЦН) «Охраны», путем использования тревожной сигнализации. </w:t>
      </w:r>
    </w:p>
    <w:p>
      <w:pPr>
        <w:pStyle w:val="Normal"/>
        <w:tabs>
          <w:tab w:val="clear" w:pos="708"/>
          <w:tab w:val="left" w:pos="567" w:leader="none"/>
          <w:tab w:val="left" w:pos="851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1.2.2.</w:t>
        <w:tab/>
        <w:t>В реагировании наряда группы задержания Анадырского ОВО - филиала ФГКУ «ОВО ВНГ России по Чукотскому автономному округу» (далее - наряд группы задержания) на эти сообщения и принятии мер к задержанию лиц, совершающих противоправные действия.</w:t>
      </w:r>
    </w:p>
    <w:p>
      <w:pPr>
        <w:pStyle w:val="Normal"/>
        <w:tabs>
          <w:tab w:val="clear" w:pos="708"/>
          <w:tab w:val="left" w:pos="567" w:leader="none"/>
          <w:tab w:val="left" w:pos="851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1.3. «Клиент» оплачивает услуги оказываемые «Охраной» в порядке и сроки, установленные настоящим Контрактом.</w:t>
      </w:r>
    </w:p>
    <w:p>
      <w:pPr>
        <w:pStyle w:val="Normal"/>
        <w:tabs>
          <w:tab w:val="clear" w:pos="708"/>
          <w:tab w:val="left" w:pos="567" w:leader="none"/>
          <w:tab w:val="left" w:pos="851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1.4. «Охрана» принимает под технический контроль тревожную сигнализацию «Объекта», подключенную к ПЦН. Установка и техническое обслуживание тревожной сигнализации на «Объекте» производится обслуживающей организацией по отдельному договору с «Клиентом».  </w:t>
      </w:r>
    </w:p>
    <w:p>
      <w:pPr>
        <w:pStyle w:val="Normal"/>
        <w:tabs>
          <w:tab w:val="clear" w:pos="708"/>
          <w:tab w:val="left" w:pos="567" w:leader="none"/>
          <w:tab w:val="left" w:pos="851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1.5. «Клиент» обеспечивает работоспособное и исправное состояние тревожной сигнализации, установленной на «Объекте».</w:t>
      </w:r>
    </w:p>
    <w:p>
      <w:pPr>
        <w:pStyle w:val="Normal"/>
        <w:tabs>
          <w:tab w:val="clear" w:pos="708"/>
          <w:tab w:val="left" w:pos="567" w:leader="none"/>
          <w:tab w:val="left" w:pos="851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1.6. Пользование услугами «Охраны» по настоящему Контракту не предусматривает материальной ответственности «Охраны» в случае возникновения ущерба.</w:t>
      </w:r>
    </w:p>
    <w:p>
      <w:pPr>
        <w:pStyle w:val="Normal"/>
        <w:tabs>
          <w:tab w:val="clear" w:pos="708"/>
          <w:tab w:val="left" w:pos="0" w:leader="none"/>
          <w:tab w:val="left" w:pos="567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1.7. При использовании «Оконечного устройства» (далее по тексту -  ОУ), числящегося на балансе «Охраны», после его установки, оно является составной частью «Комплекса» и служит для организации канала связи с пультом централизованного наблюдения при оказании охранных услуг «Клиенту», указанных в Перечне платных услуг (Приложение № 1 к настоящему Контракту).</w:t>
      </w:r>
    </w:p>
    <w:p>
      <w:pPr>
        <w:pStyle w:val="Normal"/>
        <w:tabs>
          <w:tab w:val="clear" w:pos="708"/>
          <w:tab w:val="left" w:pos="567" w:leader="none"/>
          <w:tab w:val="left" w:pos="851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1.8. При использовании «Оконечного устройства», числящегося на балансе  «Охраны», сторонами составляется Акт, в котором указывается техническое состояние и наименование используемого ОУ.</w:t>
      </w:r>
      <w:r>
        <w:rPr>
          <w:rFonts w:eastAsia="Times New Roman" w:cs="Times New Roman" w:ascii="Times New Roman" w:hAnsi="Times New Roman"/>
          <w:sz w:val="26"/>
          <w:szCs w:val="26"/>
          <w:vertAlign w:val="superscript"/>
          <w:lang w:eastAsia="ru-RU"/>
        </w:rPr>
        <w:t xml:space="preserve"> </w:t>
      </w:r>
      <w:r>
        <w:rPr>
          <w:rStyle w:val="Style16"/>
          <w:rFonts w:eastAsia="Times New Roman" w:cs="Times New Roman" w:ascii="Times New Roman" w:hAnsi="Times New Roman"/>
          <w:sz w:val="26"/>
          <w:szCs w:val="26"/>
          <w:vertAlign w:val="superscript"/>
          <w:lang w:eastAsia="ru-RU"/>
        </w:rPr>
        <w:footnoteReference w:id="2"/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ind w:left="0" w:firstLine="709"/>
        <w:jc w:val="center"/>
        <w:outlineLvl w:val="2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bCs/>
          <w:sz w:val="26"/>
          <w:szCs w:val="26"/>
          <w:lang w:eastAsia="ru-RU"/>
        </w:rPr>
        <w:t xml:space="preserve">2.ОБЩИЕ ПОЛОЖЕНИЯ </w:t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eastAsia="Times New Roman" w:cs="Times New Roman"/>
          <w:color w:val="000000"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6"/>
          <w:szCs w:val="26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2.1. Контракт заключается после оборудования «Объекта» тревожной сигнализацией и проведения её приемки в эксплуатацию представителями «Охраны»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lang w:eastAsia="ru-RU"/>
        </w:rPr>
        <w:t xml:space="preserve"> с составлением соответствующего акта, подписанного сторонами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2.1.1. Проектирование, монтаж, обучение правилами управления тревожной сигнализацией и техническое обслуживание не являются предметом настоящего Контракта.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2.1.2. Перед началом работ по оборудованию «Объекта» проводится его обследование. В ходе обследования «Охрана» совместно с «Клиентом» определяют перечень технических средств сигнализации входящих в состав тревожной сигнализации, которые указываются в Акте обследования.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2.1.3. Обследование «Объекта» с составлением соответствующего акта, также проводится и в случае, когда «Объект» уже был оборудован тревожной сигнализацией, с целью определения ее технического состояния, возможности подключения на ПЦН «Охраны», а также определения дополнительных организационно-технических мероприятий, которые необходимо выполнить для заключения Контракта.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2.1.4. 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lang w:eastAsia="ru-RU"/>
        </w:rPr>
        <w:t>Все акты обследования «Объекта», составленные с участием «Охраны» и «Клиента», имеют юридическую силу и предписания указанные в них, обязательны для исполнения «Клиентом» по настоящему Контракту.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2.2. Для оформления Контракта «Клиентом» предоставляет «Охране» уставные документы, документы подтверждающие право пользования «Объектом», копию свидетельства о регистрации, постановке на налоговый учет, исполнительскую и проектную документацию на тревожную сигнализацию, план-схему расположения «Объекта». В течение срока действия Контракта «Клиент» отвечает за объективность информации о произошедших изменениях и своевременно в письменной форме сообщает о них «Охране».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2.3. Тревожной сигнализации «Объекта» присваивается пультовый номер, для идентификации ее на ПЦН.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2.4. Реагирование «Охраной» на тревожные сообщения тревожной сигнализации «Объекта», осуществляется в дни и время (далее по тексту – режим охраны), указанные в Перечне охраняемых объектов и услуг (Приложение №1 к настоящему Контракту). Управление (пользование) тревожной сигнализацией осуществляется «Клиентом». Инструкция по порядку пользования тревожной сигнализацией предоставляется «Охраной» (Приложение №3 к настоящему Контракту).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2.5. Зоной действия «носимых» кнопок тревожной сигнализации, если в инструкции по порядку пользования тревожной сигнализацией или акте обследования не определено иное, являются помещения в границах «Объекта».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2.6. Необходимость проведения капитального ремонта шлейфов, замены тревожной сигнализации либо ее части, в случаях, когда тревожная сигнализация выработала сроки службы или дальнейшая ее эксплуатация невозможна из-за воздействия неблагоприятных климатических условий, технологических или иных воздействий, определяются после комиссионной проверки технического состояния тревожной сигнализации.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2.7. Для тревожной сигнализации, когда в технической документации на нее не указано иное, устанавливается нормативный срок службы – восемь лет со дня начала эксплуатации. В случае отсутствия возможности установить срок эксплуатации тревожной сигнализации, то срок начала эксплуатации считается год выпуска оборудования.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2.8. В течение срока действия Контракта представители «Охраны» проводят обследования на предмет работоспособности тревожной сигнализации. Результаты обследований оформляются актами, составляемыми за подписью лиц, уполномоченными на то сторонами с указанием порядка и сроков устранения «Клиентом» недостатков, в случае их выявления. Акты обследования имеют юридическую силу и обязательны для исполнения сторонами по настоящему Контракту. «Клиент» при этом обеспечивает допуск «Охраны» на «Объект» и 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lang w:eastAsia="ru-RU"/>
        </w:rPr>
        <w:t xml:space="preserve">направляет представителя для участия в 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комиссионном обследовании. Периодичность проведения обследования определяется «Охраной».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2.9. В случае отказа оборудования, относящегося к ПЦН и невозможности осуществлять автоматический прием тревожных сообщений, передаваемых тревожной сигнализацией, «Охрана» оповещает «Клиента» о случившемся в течение 24 часов с момента наступления события, используя при этом все доступные средства связи в соответствии с п. 3.2 настоящего Контракта.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2.10. Сторонами не разглашаются третьим лицам сведения о принципах работы тревожной сигнализации, присвоенные пультовые номера «Клиента».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2.11.  В случае изменения количества охраняемых «Объектов» (помещений «Объекта»), адреса «Объекта» и режима охраны тревожной сигнализации, сторонами подписывается новый надлежаще оформленный Перечне охраняемых объектов и услуг.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color w:val="000000"/>
          <w:sz w:val="26"/>
          <w:szCs w:val="26"/>
          <w:lang w:eastAsia="ru-RU"/>
        </w:rPr>
        <w:t xml:space="preserve">2.12. Данные о техническом контроле тревожной сигнализации «Объекта» фиксируются с помощью автоматизированной компьютерной базы данных «Охраны». Стороны согласны учитывать информацию автоматизированного учета данных технического контроля тревожной сигнализации «Объекта» при разрешении споров и разногласий, в том числе и при разрешении споров в суде.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color w:val="000000"/>
          <w:sz w:val="26"/>
          <w:szCs w:val="26"/>
          <w:lang w:eastAsia="ru-RU"/>
        </w:rPr>
        <w:t xml:space="preserve">2.13. Виды услуг оказываемых «Охраной» и применяемые тарифы  «Клиент» может получить по месту юридического адреса филиала «Охраны» по 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тел./факс (42722) 2-08-36/2-69-03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lang w:eastAsia="ru-RU"/>
        </w:rPr>
        <w:t>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2.14. Техническое обслуживание и устранение неисправностей тревожной сигнализации (текущий, внеплановый, капитальный и другие виды ремонта) «Охраной» не осуществляется.</w:t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ind w:left="1429" w:hanging="0"/>
        <w:outlineLvl w:val="2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bCs/>
          <w:spacing w:val="7"/>
          <w:sz w:val="26"/>
          <w:szCs w:val="26"/>
          <w:lang w:eastAsia="ru-RU"/>
        </w:rPr>
        <w:t xml:space="preserve">                       </w:t>
      </w:r>
      <w:r>
        <w:rPr>
          <w:rFonts w:eastAsia="Times New Roman" w:cs="Times New Roman" w:ascii="Times New Roman" w:hAnsi="Times New Roman"/>
          <w:b/>
          <w:bCs/>
          <w:spacing w:val="7"/>
          <w:sz w:val="26"/>
          <w:szCs w:val="26"/>
          <w:lang w:eastAsia="ru-RU"/>
        </w:rPr>
        <w:t>3. ОБЯЗАННОСТИ «ОХРАНЫ»</w:t>
      </w:r>
    </w:p>
    <w:p>
      <w:pPr>
        <w:pStyle w:val="Normal"/>
        <w:spacing w:lineRule="auto" w:line="240" w:before="0" w:after="0"/>
        <w:ind w:left="360" w:firstLine="709"/>
        <w:rPr>
          <w:rFonts w:ascii="Times New Roman" w:hAnsi="Times New Roman"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</w:r>
    </w:p>
    <w:p>
      <w:pPr>
        <w:pStyle w:val="Normal"/>
        <w:widowControl w:val="false"/>
        <w:shd w:val="clear" w:color="auto" w:fill="FFFFFF"/>
        <w:tabs>
          <w:tab w:val="clear" w:pos="708"/>
          <w:tab w:val="left" w:pos="0" w:leader="none"/>
        </w:tabs>
        <w:spacing w:lineRule="auto" w:line="240" w:before="0" w:after="0"/>
        <w:ind w:right="1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pacing w:val="1"/>
          <w:sz w:val="26"/>
          <w:szCs w:val="26"/>
          <w:lang w:eastAsia="ru-RU"/>
        </w:rPr>
        <w:t xml:space="preserve">3.1.Обеспечить в установленном порядке прием, регистрацию тревожного сообщения 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и направить наряд группы задержания  к «Объекту», для выяснения причин срабатывания тревожной сигнализации и задержания лиц, совершающих противоправные действия.</w:t>
      </w:r>
    </w:p>
    <w:p>
      <w:pPr>
        <w:pStyle w:val="Normal"/>
        <w:numPr>
          <w:ilvl w:val="1"/>
          <w:numId w:val="1"/>
        </w:numPr>
        <w:tabs>
          <w:tab w:val="clear" w:pos="708"/>
          <w:tab w:val="left" w:pos="426" w:leader="none"/>
        </w:tabs>
        <w:spacing w:lineRule="auto" w:line="240" w:before="0" w:after="0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Ставить в известность «Клиента» по телефонам, номера которых предоставляются «Охране» согласно п. 4.1 настоящего Контракта, о возникновении технических причин, препятствующих исполнению обязательств по настоящему Контракту</w:t>
      </w:r>
      <w:r>
        <w:rPr>
          <w:rFonts w:eastAsia="Times New Roman" w:cs="Times New Roman" w:ascii="Times New Roman" w:hAnsi="Times New Roman"/>
          <w:spacing w:val="1"/>
          <w:sz w:val="26"/>
          <w:szCs w:val="26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spacing w:val="3"/>
          <w:sz w:val="26"/>
          <w:szCs w:val="26"/>
          <w:lang w:eastAsia="ru-RU"/>
        </w:rPr>
        <w:t>(ликвидация ПЦН</w:t>
      </w:r>
      <w:r>
        <w:rPr>
          <w:rFonts w:eastAsia="Times New Roman" w:cs="Times New Roman" w:ascii="Times New Roman" w:hAnsi="Times New Roman"/>
          <w:spacing w:val="2"/>
          <w:sz w:val="26"/>
          <w:szCs w:val="26"/>
          <w:lang w:eastAsia="ru-RU"/>
        </w:rPr>
        <w:t xml:space="preserve"> или ряд других технических причин, не зависящих от «Охраны»).</w:t>
      </w:r>
      <w:r>
        <w:rPr>
          <w:rFonts w:eastAsia="Times New Roman" w:cs="Times New Roman" w:ascii="Times New Roman" w:hAnsi="Times New Roman"/>
          <w:spacing w:val="-10"/>
          <w:sz w:val="26"/>
          <w:szCs w:val="26"/>
          <w:lang w:eastAsia="ru-RU"/>
        </w:rPr>
        <w:t xml:space="preserve"> </w:t>
      </w:r>
    </w:p>
    <w:p>
      <w:pPr>
        <w:pStyle w:val="Normal"/>
        <w:keepNext w:val="true"/>
        <w:numPr>
          <w:ilvl w:val="0"/>
          <w:numId w:val="0"/>
        </w:numPr>
        <w:spacing w:lineRule="auto" w:line="240" w:before="240" w:after="60"/>
        <w:ind w:left="709" w:hanging="0"/>
        <w:jc w:val="center"/>
        <w:outlineLvl w:val="2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bCs/>
          <w:spacing w:val="7"/>
          <w:sz w:val="26"/>
          <w:szCs w:val="26"/>
          <w:lang w:eastAsia="ru-RU"/>
        </w:rPr>
        <w:t>4. ОБЯЗАННОСТИ «КЛИЕНТА»</w:t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</w:r>
    </w:p>
    <w:p>
      <w:pPr>
        <w:pStyle w:val="Normal"/>
        <w:tabs>
          <w:tab w:val="clear" w:pos="708"/>
          <w:tab w:val="left" w:pos="851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pacing w:val="6"/>
          <w:sz w:val="26"/>
          <w:szCs w:val="26"/>
          <w:lang w:eastAsia="ru-RU"/>
        </w:rPr>
        <w:t xml:space="preserve">4.1. 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Предоставить «Охране» письменные данные о служебных, домашних, мобильных номерах телефонов доверенных лиц, уполномоченных управлять тревожной сигнализацией «Объекта», а также лиц ответственных за эксплуатацию тревожной сигнализации (Приложение № 2 к настоящему Контракту). В однодневный срок, в письменной форме, уведомлять «Охрану» о произошедших изменениях указанных данных.</w:t>
      </w:r>
    </w:p>
    <w:p>
      <w:pPr>
        <w:pStyle w:val="Normal"/>
        <w:spacing w:lineRule="auto" w:line="240" w:before="0" w:after="0"/>
        <w:ind w:right="-2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4.2. Участвовать в осмотре «Объекта», составлять с «Охраной» совместные акты о принятых мерах, давать пояснения по факту вызова наряда группы задержания. Оказывать всестороннее содействие сотрудникам полиции при выполнении ими своих обязанностей.</w:t>
      </w:r>
    </w:p>
    <w:p>
      <w:pPr>
        <w:pStyle w:val="Normal"/>
        <w:tabs>
          <w:tab w:val="clear" w:pos="708"/>
          <w:tab w:val="left" w:pos="851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pacing w:val="7"/>
          <w:sz w:val="26"/>
          <w:szCs w:val="26"/>
          <w:lang w:eastAsia="ru-RU"/>
        </w:rPr>
        <w:t>4.3.</w:t>
        <w:tab/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При проведении на «Объекте» ремонта, перепланировки, переоборудования помещений, в случаях появления новых или изменения мест хранения ценностей, изменения режима или профиля работ, сдачи помещения (площадей) в аренду (субаренду) или передачи помещений другим лицам, а также при проведении иных мероприятий, которые могут повлиять на техническое состояние тревожной сигнализации и потребовать дополнительных мер по технической (инженерной) укрепленности «Объекта», письменно уведомить об этом «Охрану» не позднее, чем за 15 дней до наступления таких изменений.</w:t>
      </w:r>
    </w:p>
    <w:p>
      <w:pPr>
        <w:pStyle w:val="Normal"/>
        <w:tabs>
          <w:tab w:val="clear" w:pos="708"/>
          <w:tab w:val="left" w:pos="851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4.4.</w:t>
        <w:tab/>
        <w:t xml:space="preserve">Не менее одного раза в сутки производить проверку работоспособности тревожной сигнализации, предварительно согласовав время проведения проверки с дежурными сотрудниками ПЦН «Охраны», по номерам телефонов ПЦО. </w:t>
      </w:r>
    </w:p>
    <w:p>
      <w:pPr>
        <w:pStyle w:val="Normal"/>
        <w:tabs>
          <w:tab w:val="clear" w:pos="708"/>
          <w:tab w:val="left" w:pos="851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4.5. О возникших неисправностях немедленно сообщать в обслуживающую организацию и «Охрану», обеспечить своевременное проведение ремонтных и регламентных работ по техническому обслуживанию тревожной сигнализации.</w:t>
      </w:r>
    </w:p>
    <w:p>
      <w:pPr>
        <w:pStyle w:val="Normal"/>
        <w:tabs>
          <w:tab w:val="clear" w:pos="708"/>
          <w:tab w:val="left" w:pos="851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4.6.</w:t>
        <w:tab/>
        <w:t>Не допускать к тревожной сигнализации для устранения неисправностей посторонних лиц, не производить работы своими силами.</w:t>
      </w:r>
    </w:p>
    <w:p>
      <w:pPr>
        <w:pStyle w:val="Normal"/>
        <w:tabs>
          <w:tab w:val="clear" w:pos="708"/>
          <w:tab w:val="left" w:pos="851" w:leader="none"/>
          <w:tab w:val="left" w:pos="993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4.7.  Использовать тревожную сигнализацию, согласно режима охраны, указанного в перечне платных услуг.  </w:t>
      </w:r>
    </w:p>
    <w:p>
      <w:pPr>
        <w:pStyle w:val="Normal"/>
        <w:tabs>
          <w:tab w:val="clear" w:pos="708"/>
          <w:tab w:val="left" w:pos="851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4.8. </w:t>
      </w:r>
      <w:r>
        <w:rPr>
          <w:rFonts w:eastAsia="Times New Roman" w:cs="Times New Roman" w:ascii="Times New Roman" w:hAnsi="Times New Roman"/>
          <w:spacing w:val="7"/>
          <w:sz w:val="26"/>
          <w:szCs w:val="26"/>
          <w:lang w:eastAsia="ru-RU"/>
        </w:rPr>
        <w:t xml:space="preserve">Обеспечить «Охране» доступ на «Объект» в целях </w:t>
      </w:r>
      <w:r>
        <w:rPr>
          <w:rFonts w:eastAsia="Times New Roman" w:cs="Times New Roman" w:ascii="Times New Roman" w:hAnsi="Times New Roman"/>
          <w:spacing w:val="3"/>
          <w:sz w:val="26"/>
          <w:szCs w:val="26"/>
          <w:lang w:eastAsia="ru-RU"/>
        </w:rPr>
        <w:t xml:space="preserve">выполнения ею обязательств, принятых на себя в соответствии с настоящим Контрактом. </w:t>
      </w:r>
    </w:p>
    <w:p>
      <w:pPr>
        <w:pStyle w:val="Normal"/>
        <w:tabs>
          <w:tab w:val="clear" w:pos="708"/>
          <w:tab w:val="left" w:pos="851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4.9. Обеспечить исправность сети электропитания, к которым подключена тревожная сигнализация, и своевременно выполнять предписания «Охраны» об устранении неисправностей и дефектов в работе тревожной сигнализации. </w:t>
      </w:r>
    </w:p>
    <w:p>
      <w:pPr>
        <w:pStyle w:val="Normal"/>
        <w:tabs>
          <w:tab w:val="clear" w:pos="708"/>
          <w:tab w:val="left" w:pos="851" w:leader="none"/>
          <w:tab w:val="left" w:pos="993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4.10. Оплачивать расходы, связанные выездами наряда группы задержания на ложные сигналы «тревога» с выставлением поста «Охраны»</w:t>
      </w:r>
      <w:r>
        <w:rPr>
          <w:rFonts w:eastAsia="Times New Roman" w:cs="Times New Roman" w:ascii="Times New Roman" w:hAnsi="Times New Roman"/>
          <w:spacing w:val="-1"/>
          <w:sz w:val="26"/>
          <w:szCs w:val="26"/>
          <w:lang w:eastAsia="ru-RU"/>
        </w:rPr>
        <w:t xml:space="preserve">, </w:t>
      </w:r>
      <w:r>
        <w:rPr>
          <w:rFonts w:eastAsia="Times New Roman" w:cs="Times New Roman" w:ascii="Times New Roman" w:hAnsi="Times New Roman"/>
          <w:spacing w:val="4"/>
          <w:sz w:val="26"/>
          <w:szCs w:val="26"/>
          <w:lang w:eastAsia="ru-RU"/>
        </w:rPr>
        <w:t xml:space="preserve">вследствие 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ненадлежащей эксплуатации </w:t>
      </w:r>
      <w:r>
        <w:rPr>
          <w:rFonts w:eastAsia="Times New Roman" w:cs="Times New Roman" w:ascii="Times New Roman" w:hAnsi="Times New Roman"/>
          <w:spacing w:val="-1"/>
          <w:sz w:val="26"/>
          <w:szCs w:val="26"/>
          <w:lang w:eastAsia="ru-RU"/>
        </w:rPr>
        <w:t>«Клиентом» или доверенными лицами «Клиента»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 тревожной сигнализации, либо ее неисправности </w:t>
      </w:r>
      <w:r>
        <w:rPr>
          <w:rFonts w:eastAsia="Times New Roman" w:cs="Times New Roman" w:ascii="Times New Roman" w:hAnsi="Times New Roman"/>
          <w:spacing w:val="-1"/>
          <w:sz w:val="26"/>
          <w:szCs w:val="26"/>
          <w:lang w:eastAsia="ru-RU"/>
        </w:rPr>
        <w:t>по действующим тарифам.</w:t>
      </w:r>
    </w:p>
    <w:p>
      <w:pPr>
        <w:pStyle w:val="Normal"/>
        <w:tabs>
          <w:tab w:val="clear" w:pos="708"/>
          <w:tab w:val="left" w:pos="851" w:leader="none"/>
          <w:tab w:val="left" w:pos="993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pacing w:val="1"/>
          <w:sz w:val="26"/>
          <w:szCs w:val="26"/>
          <w:lang w:eastAsia="ru-RU"/>
        </w:rPr>
        <w:t xml:space="preserve">4.11. 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Своевременно вносить оплату за услуги «Охраны» и оплачивать счета, выставляемые согласно условиям настоящего Контракта.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lang w:eastAsia="ru-RU"/>
        </w:rPr>
        <w:t xml:space="preserve"> При изменении источника финансирования услуг охраны, незамедлительно письменно информировать об этом «Охрану» (в случае оплаты услуг охраны из различных уровней бюджета).</w:t>
      </w:r>
    </w:p>
    <w:p>
      <w:pPr>
        <w:pStyle w:val="Normal"/>
        <w:shd w:val="clear" w:color="auto" w:fill="FFFFFF"/>
        <w:tabs>
          <w:tab w:val="clear" w:pos="708"/>
          <w:tab w:val="left" w:pos="771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color w:val="000000"/>
          <w:sz w:val="26"/>
          <w:szCs w:val="26"/>
          <w:lang w:eastAsia="ru-RU"/>
        </w:rPr>
        <w:t>4.12. З</w:t>
      </w:r>
      <w:r>
        <w:rPr>
          <w:rFonts w:eastAsia="Times New Roman" w:cs="Times New Roman" w:ascii="Times New Roman" w:hAnsi="Times New Roman"/>
          <w:color w:val="000000"/>
          <w:spacing w:val="-1"/>
          <w:sz w:val="26"/>
          <w:szCs w:val="26"/>
          <w:lang w:eastAsia="ru-RU"/>
        </w:rPr>
        <w:t xml:space="preserve">аключить договор на техническое обслуживание тревожной сигнализации «Объекта» с обслуживающей организацией, копию которого предоставить «Охране». 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lang w:eastAsia="ru-RU"/>
        </w:rPr>
        <w:t>В случае расторжения или приостановления исполнения обязательств по Контракту на техническое обслуживание, смены обслуживающей организации, в течение суток письменно уведомлять об этом «Охрану».</w:t>
      </w:r>
    </w:p>
    <w:p>
      <w:pPr>
        <w:pStyle w:val="Normal"/>
        <w:shd w:val="clear" w:color="auto" w:fill="FFFFFF"/>
        <w:tabs>
          <w:tab w:val="clear" w:pos="708"/>
          <w:tab w:val="left" w:pos="771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4.13. Соблюдать положения «Общих условий предоставления услуг» (раздел 2 настоящего Контракта). </w:t>
      </w:r>
    </w:p>
    <w:p>
      <w:pPr>
        <w:pStyle w:val="Normal"/>
        <w:shd w:val="clear" w:color="auto" w:fill="FFFFFF"/>
        <w:tabs>
          <w:tab w:val="clear" w:pos="708"/>
          <w:tab w:val="left" w:pos="771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4.14. Производить капитальный (текущий, внеплановый) и другие виды ремонта или замену комплекса технических средств охраны при невозможности его дальнейшей эксплуатации из-за физического износа или необратимого изменения технических параметров вследствие воздействия климатических или производственных факторов, исключающих надежную защиту охраняемого объекта, в периоды службы, указанные заводом изготовителем в паспорте на изделие, но не реже одного раза в 8 лет, за счет средств «Клиента».</w:t>
      </w:r>
    </w:p>
    <w:p>
      <w:pPr>
        <w:pStyle w:val="Normal"/>
        <w:shd w:val="clear" w:color="auto" w:fill="FFFFFF"/>
        <w:tabs>
          <w:tab w:val="clear" w:pos="708"/>
          <w:tab w:val="left" w:pos="771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4.15. Направлять в адрес «Охраны» уведомление о возбуждении арбитражным судом в отношении «Клиента» дела о несостоятельности (банкротстве). </w:t>
      </w:r>
      <w:r>
        <w:rPr>
          <w:rStyle w:val="Style16"/>
          <w:rFonts w:eastAsia="Times New Roman" w:cs="Times New Roman" w:ascii="Times New Roman" w:hAnsi="Times New Roman"/>
          <w:sz w:val="26"/>
          <w:szCs w:val="26"/>
          <w:vertAlign w:val="superscript"/>
          <w:lang w:eastAsia="ru-RU"/>
        </w:rPr>
        <w:footnoteReference w:id="3"/>
      </w:r>
    </w:p>
    <w:p>
      <w:pPr>
        <w:pStyle w:val="Normal"/>
        <w:shd w:val="clear" w:color="auto" w:fill="FFFFFF"/>
        <w:tabs>
          <w:tab w:val="clear" w:pos="708"/>
          <w:tab w:val="left" w:pos="771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4.16. Возвратить ОУ по первому требованию «Охраны» или в течение 3-х дней с момента расторжения настоящего Контракта </w:t>
      </w:r>
      <w:r>
        <w:rPr>
          <w:rStyle w:val="Style16"/>
          <w:rFonts w:eastAsia="Times New Roman" w:cs="Times New Roman" w:ascii="Times New Roman" w:hAnsi="Times New Roman"/>
          <w:sz w:val="26"/>
          <w:szCs w:val="26"/>
          <w:vertAlign w:val="superscript"/>
          <w:lang w:eastAsia="ru-RU"/>
        </w:rPr>
        <w:footnoteReference w:id="4"/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. </w:t>
      </w:r>
    </w:p>
    <w:p>
      <w:pPr>
        <w:pStyle w:val="Normal"/>
        <w:shd w:val="clear" w:color="auto" w:fill="FFFFFF"/>
        <w:tabs>
          <w:tab w:val="clear" w:pos="708"/>
          <w:tab w:val="left" w:pos="771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4.17. Уведомить «Охрану» в случае утраты (потери, кражи) ОУ. </w:t>
      </w:r>
    </w:p>
    <w:p>
      <w:pPr>
        <w:pStyle w:val="Normal"/>
        <w:shd w:val="clear" w:color="auto" w:fill="FFFFFF"/>
        <w:tabs>
          <w:tab w:val="clear" w:pos="708"/>
          <w:tab w:val="left" w:pos="771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4.18. Возместить ущерб «Охране» в размере стоимости ОУ, в случае отказа от его возвращения, повреждения или его утраты (потере, кражи).</w:t>
      </w:r>
    </w:p>
    <w:p>
      <w:pPr>
        <w:pStyle w:val="Normal"/>
        <w:shd w:val="clear" w:color="auto" w:fill="FFFFFF"/>
        <w:tabs>
          <w:tab w:val="clear" w:pos="708"/>
          <w:tab w:val="left" w:pos="426" w:leader="none"/>
        </w:tabs>
        <w:spacing w:lineRule="auto" w:line="240" w:before="0" w:after="0"/>
        <w:ind w:left="390" w:firstLine="709"/>
        <w:contextualSpacing/>
        <w:jc w:val="both"/>
        <w:rPr>
          <w:rFonts w:ascii="Times New Roman" w:hAnsi="Times New Roman" w:eastAsia="SimSun" w:cs="Times New Roman"/>
          <w:sz w:val="26"/>
          <w:szCs w:val="26"/>
          <w:lang w:eastAsia="zh-CN"/>
        </w:rPr>
      </w:pPr>
      <w:r>
        <w:rPr>
          <w:rFonts w:eastAsia="SimSun" w:cs="Times New Roman" w:ascii="Times New Roman" w:hAnsi="Times New Roman"/>
          <w:sz w:val="26"/>
          <w:szCs w:val="26"/>
          <w:lang w:eastAsia="zh-CN"/>
        </w:rPr>
      </w:r>
    </w:p>
    <w:p>
      <w:pPr>
        <w:pStyle w:val="Normal"/>
        <w:spacing w:lineRule="auto" w:line="240" w:before="0" w:after="0"/>
        <w:ind w:left="849" w:firstLine="709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spacing w:val="-4"/>
          <w:sz w:val="26"/>
          <w:szCs w:val="26"/>
          <w:lang w:eastAsia="ru-RU"/>
        </w:rPr>
        <w:t xml:space="preserve">                                       </w:t>
      </w:r>
      <w:r>
        <w:rPr>
          <w:rFonts w:eastAsia="Times New Roman" w:cs="Times New Roman" w:ascii="Times New Roman" w:hAnsi="Times New Roman"/>
          <w:b/>
          <w:spacing w:val="-4"/>
          <w:sz w:val="26"/>
          <w:szCs w:val="26"/>
          <w:lang w:eastAsia="ru-RU"/>
        </w:rPr>
        <w:t xml:space="preserve">5. </w:t>
      </w: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  <w:t>ПРАВА «ОХРАНЫ»</w:t>
      </w:r>
    </w:p>
    <w:p>
      <w:pPr>
        <w:pStyle w:val="Normal"/>
        <w:spacing w:lineRule="auto" w:line="240" w:before="0" w:after="0"/>
        <w:ind w:left="849" w:firstLine="709"/>
        <w:jc w:val="center"/>
        <w:rPr>
          <w:rFonts w:ascii="Times New Roman" w:hAnsi="Times New Roman" w:eastAsia="Times New Roman" w:cs="Times New Roman"/>
          <w:b/>
          <w:b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</w:r>
    </w:p>
    <w:p>
      <w:pPr>
        <w:pStyle w:val="Normal"/>
        <w:tabs>
          <w:tab w:val="clear" w:pos="708"/>
          <w:tab w:val="left" w:pos="567" w:leader="none"/>
          <w:tab w:val="left" w:pos="993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pacing w:val="4"/>
          <w:sz w:val="26"/>
          <w:szCs w:val="26"/>
          <w:lang w:eastAsia="ru-RU"/>
        </w:rPr>
        <w:t>5.1. Расторгнуть настоящий Контракт досрочно, уведомив об этом «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Клиента»</w:t>
      </w:r>
      <w:r>
        <w:rPr>
          <w:rFonts w:eastAsia="Times New Roman" w:cs="Times New Roman" w:ascii="Times New Roman" w:hAnsi="Times New Roman"/>
          <w:spacing w:val="4"/>
          <w:sz w:val="26"/>
          <w:szCs w:val="26"/>
          <w:lang w:eastAsia="ru-RU"/>
        </w:rPr>
        <w:t xml:space="preserve"> за 15 дней.</w:t>
      </w:r>
    </w:p>
    <w:p>
      <w:pPr>
        <w:pStyle w:val="Normal"/>
        <w:tabs>
          <w:tab w:val="clear" w:pos="708"/>
          <w:tab w:val="left" w:pos="851" w:leader="none"/>
          <w:tab w:val="left" w:pos="993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5.2. Приостановить исполнение обязательств по настоящему Контракту (временно не оказывать услуги) в одностороннем порядке, в следующих случаях:</w:t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5.2.1. При возникновении технических причин, препятствующих продолжению охраны «Объекта» (</w:t>
      </w:r>
      <w:r>
        <w:rPr>
          <w:rFonts w:eastAsia="Times New Roman" w:cs="Times New Roman" w:ascii="Times New Roman" w:hAnsi="Times New Roman"/>
          <w:spacing w:val="3"/>
          <w:sz w:val="26"/>
          <w:szCs w:val="26"/>
          <w:lang w:eastAsia="ru-RU"/>
        </w:rPr>
        <w:t>неработоспособность (неисправность) тревожной сигнализации, ликвидация ПЦН</w:t>
      </w:r>
      <w:r>
        <w:rPr>
          <w:rFonts w:eastAsia="Times New Roman" w:cs="Times New Roman" w:ascii="Times New Roman" w:hAnsi="Times New Roman"/>
          <w:spacing w:val="2"/>
          <w:sz w:val="26"/>
          <w:szCs w:val="26"/>
          <w:lang w:eastAsia="ru-RU"/>
        </w:rPr>
        <w:t xml:space="preserve"> или ряд других технических причин, не зависящих от «Охраны»).                                                           </w:t>
      </w:r>
      <w:r>
        <w:rPr>
          <w:rFonts w:eastAsia="Times New Roman" w:cs="Times New Roman" w:ascii="Times New Roman" w:hAnsi="Times New Roman"/>
          <w:spacing w:val="-1"/>
          <w:sz w:val="26"/>
          <w:szCs w:val="26"/>
          <w:lang w:eastAsia="ru-RU"/>
        </w:rPr>
        <w:t xml:space="preserve"> </w:t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5.2.2. </w:t>
      </w:r>
      <w:r>
        <w:rPr>
          <w:rFonts w:eastAsia="Times New Roman" w:cs="Times New Roman" w:ascii="Times New Roman" w:hAnsi="Times New Roman"/>
          <w:spacing w:val="3"/>
          <w:sz w:val="26"/>
          <w:szCs w:val="26"/>
          <w:lang w:eastAsia="ru-RU"/>
        </w:rPr>
        <w:t>В случае выявления недостоверности предоставленных «Клиентом» сведений об</w:t>
      </w:r>
      <w:r>
        <w:rPr>
          <w:rFonts w:eastAsia="Times New Roman" w:cs="Times New Roman" w:ascii="Times New Roman" w:hAnsi="Times New Roman"/>
          <w:spacing w:val="1"/>
          <w:sz w:val="26"/>
          <w:szCs w:val="26"/>
          <w:lang w:eastAsia="ru-RU"/>
        </w:rPr>
        <w:t xml:space="preserve"> «Объекте» или иного помещения входящего в состав «Объекта», как объекта недвижимости, возникновении споров о праве</w:t>
      </w:r>
      <w:r>
        <w:rPr>
          <w:rFonts w:eastAsia="Times New Roman" w:cs="Times New Roman" w:ascii="Times New Roman" w:hAnsi="Times New Roman"/>
          <w:spacing w:val="-1"/>
          <w:sz w:val="26"/>
          <w:szCs w:val="26"/>
          <w:lang w:eastAsia="ru-RU"/>
        </w:rPr>
        <w:t xml:space="preserve"> собственности на «Объект», владения и управления имуществом;</w:t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5.2.3. Если «Клиент» не оплачивает услуги «Охраны» по новым тарифам, а также не предоставляет письменный ответ «Охране» о принятом решении.</w:t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pacing w:val="-2"/>
          <w:sz w:val="26"/>
          <w:szCs w:val="26"/>
          <w:lang w:eastAsia="ru-RU"/>
        </w:rPr>
        <w:t>5.2.4. При невыполнении либо ненадлежащем выполнении «Клиентом» в установленные сроки мероприятий, указанных в актах обследования «Объекта» настоящего Контракта.</w:t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pacing w:val="-2"/>
          <w:sz w:val="26"/>
          <w:szCs w:val="26"/>
          <w:lang w:eastAsia="ru-RU"/>
        </w:rPr>
        <w:t>5.2.5. При необеспечении клиентом эксплуатационного обслуживания средств тревожной сигнализации обслуживающей организацией.</w:t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pacing w:val="-2"/>
          <w:sz w:val="26"/>
          <w:szCs w:val="26"/>
          <w:lang w:eastAsia="ru-RU"/>
        </w:rPr>
        <w:t>5.2.6. В случае невыполнения «Клиентом» п. 4.14. Контракта сроков проведения капитального ремонта или замены комплекса технических средств охраны.</w:t>
      </w:r>
    </w:p>
    <w:p>
      <w:pPr>
        <w:pStyle w:val="Normal"/>
        <w:shd w:val="clear" w:color="auto" w:fill="FFFFFF"/>
        <w:tabs>
          <w:tab w:val="clear" w:pos="708"/>
          <w:tab w:val="left" w:pos="379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5.3. В случае не своевременной оплаты «Клиентом» услуг по настоящему Контракту «Охрана» вправе приостановить исполнение обязательств по настоящему Контракту без предупреждения, в одностороннем порядке и возобновить исполнение обязательств после погашения «Клиентом» всех видов задолженности.</w:t>
      </w:r>
    </w:p>
    <w:p>
      <w:pPr>
        <w:pStyle w:val="Normal"/>
        <w:shd w:val="clear" w:color="auto" w:fill="FFFFFF"/>
        <w:tabs>
          <w:tab w:val="clear" w:pos="708"/>
          <w:tab w:val="left" w:pos="379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5.4. «Охрана» оставляет за собой право, исключающее реагирования на поступающие сообщения «Тревоги» от «Комплекса» в сверх установленного времени охраны в соответствии с Перечнем охраняемых объектов и услуг (приложение № 1), т.е. во вне охраняемое время реагирование на сообщения о срабатывании охранно-пожарной и (или) тревожной сигнализации и  граждан обеспечивается на общих основаниях в соответствии с пунктом 21 части 1 статьи 9 Федерального закона от 03.07.2016 г. №226-ФЗ «О войсках национальной гвардии Российской Федерации» с учетом планов комплексного использования сил и средств ФСВНГ РФ по обеспечению правопорядка в общественных местах.  </w:t>
      </w:r>
    </w:p>
    <w:p>
      <w:pPr>
        <w:pStyle w:val="Normal"/>
        <w:shd w:val="clear" w:color="auto" w:fill="FFFFFF"/>
        <w:tabs>
          <w:tab w:val="clear" w:pos="708"/>
          <w:tab w:val="left" w:pos="727" w:leader="none"/>
        </w:tabs>
        <w:spacing w:lineRule="auto" w:line="240" w:before="0" w:after="0"/>
        <w:ind w:firstLine="426"/>
        <w:jc w:val="both"/>
        <w:rPr>
          <w:rFonts w:ascii="Times New Roman" w:hAnsi="Times New Roman" w:eastAsia="Times New Roman" w:cs="Times New Roman"/>
          <w:b/>
          <w:b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</w:r>
    </w:p>
    <w:p>
      <w:pPr>
        <w:pStyle w:val="Normal"/>
        <w:spacing w:lineRule="auto" w:line="240" w:before="0" w:after="0"/>
        <w:ind w:left="283" w:firstLine="709"/>
        <w:contextualSpacing/>
        <w:jc w:val="center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  <w:t xml:space="preserve">6. </w:t>
      </w:r>
      <w:r>
        <w:rPr>
          <w:rFonts w:eastAsia="Times New Roman" w:cs="Times New Roman" w:ascii="Times New Roman" w:hAnsi="Times New Roman"/>
          <w:b/>
          <w:spacing w:val="1"/>
          <w:sz w:val="26"/>
          <w:szCs w:val="26"/>
          <w:lang w:eastAsia="ru-RU"/>
        </w:rPr>
        <w:t>ПРАВА «КЛИЕНТА»</w:t>
      </w:r>
    </w:p>
    <w:p>
      <w:pPr>
        <w:pStyle w:val="Normal"/>
        <w:spacing w:lineRule="auto" w:line="240" w:before="0" w:after="0"/>
        <w:ind w:left="283" w:firstLine="709"/>
        <w:contextualSpacing/>
        <w:jc w:val="center"/>
        <w:rPr>
          <w:rFonts w:ascii="Times New Roman" w:hAnsi="Times New Roman" w:eastAsia="Times New Roman" w:cs="Times New Roman"/>
          <w:b/>
          <w:b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</w:r>
    </w:p>
    <w:p>
      <w:pPr>
        <w:pStyle w:val="Normal"/>
        <w:shd w:val="clear" w:color="auto" w:fill="FFFFFF"/>
        <w:tabs>
          <w:tab w:val="clear" w:pos="708"/>
          <w:tab w:val="left" w:pos="727" w:leader="none"/>
          <w:tab w:val="left" w:pos="851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6.1.</w:t>
        <w:tab/>
        <w:t xml:space="preserve"> Использовать</w:t>
      </w:r>
      <w:r>
        <w:rPr>
          <w:rFonts w:eastAsia="Times New Roman" w:cs="Times New Roman" w:ascii="Times New Roman" w:hAnsi="Times New Roman"/>
          <w:spacing w:val="2"/>
          <w:sz w:val="26"/>
          <w:szCs w:val="26"/>
          <w:lang w:eastAsia="ru-RU"/>
        </w:rPr>
        <w:t xml:space="preserve"> тревожную сигнализацию «Объекта», согласно условиям настоящего Контракта.</w:t>
      </w:r>
    </w:p>
    <w:p>
      <w:pPr>
        <w:pStyle w:val="Normal"/>
        <w:shd w:val="clear" w:color="auto" w:fill="FFFFFF"/>
        <w:tabs>
          <w:tab w:val="clear" w:pos="708"/>
          <w:tab w:val="left" w:pos="727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pacing w:val="-10"/>
          <w:sz w:val="26"/>
          <w:szCs w:val="26"/>
          <w:lang w:eastAsia="ru-RU"/>
        </w:rPr>
        <w:t>6.2.   Досрочно р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асторгнуть настоящий Контракт, письменно уведомив об этом «Охрану» за 15 дней.</w:t>
      </w:r>
    </w:p>
    <w:p>
      <w:pPr>
        <w:pStyle w:val="Normal"/>
        <w:shd w:val="clear" w:color="auto" w:fill="FFFFFF"/>
        <w:tabs>
          <w:tab w:val="clear" w:pos="708"/>
          <w:tab w:val="left" w:pos="727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6.3.  Временно не пользоваться услугами «Охраны», письменно уведомив об этом «Охрану» за 15 дней.</w:t>
      </w:r>
    </w:p>
    <w:p>
      <w:pPr>
        <w:pStyle w:val="Normal"/>
        <w:shd w:val="clear" w:color="auto" w:fill="FFFFFF"/>
        <w:tabs>
          <w:tab w:val="clear" w:pos="708"/>
          <w:tab w:val="left" w:pos="727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6.4.  Изменять режим охраны, письменно уведомив об этом «Охрану» за 15 дней.</w:t>
      </w:r>
    </w:p>
    <w:p>
      <w:pPr>
        <w:pStyle w:val="Normal"/>
        <w:shd w:val="clear" w:color="auto" w:fill="FFFFFF"/>
        <w:tabs>
          <w:tab w:val="clear" w:pos="708"/>
          <w:tab w:val="left" w:pos="727" w:leader="none"/>
        </w:tabs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</w:r>
    </w:p>
    <w:p>
      <w:pPr>
        <w:pStyle w:val="Normal"/>
        <w:spacing w:lineRule="auto" w:line="240" w:before="0" w:after="0"/>
        <w:ind w:left="849" w:firstLine="709"/>
        <w:jc w:val="center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  <w:t>7. ПОРЯДОК РАСЧЕТОВ И РАЗРЕШЕНИЯ СПОРОВ</w:t>
      </w:r>
    </w:p>
    <w:p>
      <w:pPr>
        <w:pStyle w:val="Normal"/>
        <w:spacing w:lineRule="auto" w:line="240" w:before="0" w:after="0"/>
        <w:ind w:left="849" w:firstLine="709"/>
        <w:jc w:val="center"/>
        <w:rPr>
          <w:rFonts w:ascii="Times New Roman" w:hAnsi="Times New Roman" w:eastAsia="Times New Roman" w:cs="Times New Roman"/>
          <w:b/>
          <w:b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7.1. </w:t>
      </w:r>
      <w:r>
        <w:rPr>
          <w:rFonts w:cs="" w:ascii="Times New Roman" w:hAnsi="Times New Roman" w:cstheme="minorBidi"/>
          <w:sz w:val="26"/>
          <w:szCs w:val="26"/>
        </w:rPr>
        <w:t>Сумма оплаты в год составляет</w:t>
      </w:r>
      <w:r>
        <w:rPr>
          <w:rFonts w:cs="" w:ascii="Times New Roman" w:hAnsi="Times New Roman" w:cstheme="minorBidi"/>
          <w:b/>
          <w:bCs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7.2. Размер оплаты за услуги, оказываемые «Охраной» указывается в Перечне объектов и услуг (Приложение № 1 к настоящему Контракту).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7.3. Стоимость услуг «Охраны» НДС не облагается.</w:t>
      </w:r>
    </w:p>
    <w:p>
      <w:pPr>
        <w:pStyle w:val="Normal"/>
        <w:tabs>
          <w:tab w:val="clear" w:pos="708"/>
          <w:tab w:val="left" w:pos="426" w:leader="none"/>
          <w:tab w:val="left" w:pos="709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7.4. Расчетным периодом считается календарный месяц.</w:t>
      </w:r>
    </w:p>
    <w:p>
      <w:pPr>
        <w:pStyle w:val="Normal"/>
        <w:tabs>
          <w:tab w:val="clear" w:pos="708"/>
          <w:tab w:val="left" w:pos="426" w:leader="none"/>
          <w:tab w:val="left" w:pos="709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7.4.1. Оплата по настоящему Контракту производится «Клиентом» на основании подписанного сторонами Акта об оказанных услуг и предоставленных «Охраной» счета и счета фактуры, путем перечисления денежных средств на расчетный счет «Охраны» в течении 10-ти банковских дней с даты подписания Акта об оказании услуг. </w:t>
      </w:r>
    </w:p>
    <w:p>
      <w:pPr>
        <w:pStyle w:val="Normal"/>
        <w:tabs>
          <w:tab w:val="clear" w:pos="708"/>
          <w:tab w:val="left" w:pos="426" w:leader="none"/>
          <w:tab w:val="left" w:pos="709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7.4.2. В случае превышения фактического времени охраны с помощью технических средств над расчетным, указанным в перечне услуг, оплата производится по дополнительно выставленному счету и акту выполненных работ до 20 числа месяца, следующего за отчетным.</w:t>
      </w:r>
    </w:p>
    <w:p>
      <w:pPr>
        <w:pStyle w:val="Normal"/>
        <w:tabs>
          <w:tab w:val="clear" w:pos="708"/>
          <w:tab w:val="left" w:pos="426" w:leader="none"/>
          <w:tab w:val="left" w:pos="709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7.4.3. Фактом оплаты признается поступление денежных средств на расчетный счет «Охраны».</w:t>
      </w:r>
    </w:p>
    <w:p>
      <w:pPr>
        <w:pStyle w:val="Normal"/>
        <w:tabs>
          <w:tab w:val="clear" w:pos="708"/>
          <w:tab w:val="left" w:pos="426" w:leader="none"/>
          <w:tab w:val="left" w:pos="709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7.4.4. Оплата услуг «Охраны» в декабре производится не позднее 25 числа текущего месяца.</w:t>
      </w:r>
    </w:p>
    <w:p>
      <w:pPr>
        <w:pStyle w:val="Normal"/>
        <w:tabs>
          <w:tab w:val="clear" w:pos="708"/>
          <w:tab w:val="left" w:pos="426" w:leader="none"/>
          <w:tab w:val="left" w:pos="709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7.5. Изменение размера оплаты по настоящему Контракту производится ежегодно с 01 января при изменении действующих тарифов, в соответствии с нормативными актами Правительства РФ. Изменение тарифов влечет за собой автоматическое изменение оплаты, установленной для «Клиента». При наступлении указанного основания «Клиент» оплачивает услуги по новой цене после оформления нового Перечня объектов и услуг и подписания дополнительного соглашения. </w:t>
      </w:r>
    </w:p>
    <w:p>
      <w:pPr>
        <w:pStyle w:val="Normal"/>
        <w:tabs>
          <w:tab w:val="clear" w:pos="708"/>
          <w:tab w:val="left" w:pos="426" w:leader="none"/>
          <w:tab w:val="left" w:pos="709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7.6. Платежи, не включенные в оплату, производятся «Клиентом» в момент внесения (перечисления) очередной оплаты, согласно действующим тарифам, утвержденным ФГКУ «ОВО ВНГ России по Чукотскому автономному округу».</w:t>
      </w:r>
    </w:p>
    <w:p>
      <w:pPr>
        <w:pStyle w:val="Normal"/>
        <w:shd w:val="clear" w:color="auto" w:fill="FFFFFF"/>
        <w:tabs>
          <w:tab w:val="clear" w:pos="708"/>
          <w:tab w:val="left" w:pos="466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7.8. В случае досрочного расторжения настоящего Контракта, сторонами проводятся взаиморасчеты, исходя из стоимости фактически оказанных услуг.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7.9. В случае несвоевременной оплаты «Клиентом» услуг по настоящему Контракту «Охрана» может начислить пени в соответствии с действующим законодательством.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7.10. Ответственность за получение документов, указанных в п.7.4.1. Контракта возлагается на «Клиента». Неполучение «Клиентом» документов, необходимых для оплаты услуг «Охраны» не освобождает «Клиента» от надлежащего исполнения им своих обязательств по своевременной и полной оплате по настоящему Контракт.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 w:eastAsia="Times New Roman" w:cs="Times New Roman"/>
          <w:b/>
          <w:b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  <w:t>8. ПРОЧИЕ УСЛОВИЯ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 w:eastAsia="Times New Roman" w:cs="Times New Roman"/>
          <w:b/>
          <w:b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8.1. Уведомление об изменении стоимости охранных услуг, реквизитов и иных положений Контракта осуществляется «Охраной» путем письменного уведомления «Клиента»  в декабре каждого года.</w:t>
      </w:r>
    </w:p>
    <w:p>
      <w:pPr>
        <w:pStyle w:val="Normal"/>
        <w:tabs>
          <w:tab w:val="clear" w:pos="708"/>
          <w:tab w:val="left" w:pos="0" w:leader="none"/>
          <w:tab w:val="left" w:pos="180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8.2. Дополнительно уведомление осуществляется «Охраной» любыми доступными способами, в том числе:</w:t>
      </w:r>
    </w:p>
    <w:p>
      <w:pPr>
        <w:pStyle w:val="Normal"/>
        <w:tabs>
          <w:tab w:val="clear" w:pos="708"/>
          <w:tab w:val="left" w:pos="0" w:leader="none"/>
          <w:tab w:val="left" w:pos="180" w:leader="none"/>
        </w:tabs>
        <w:spacing w:lineRule="auto" w:line="240" w:before="0" w:after="0"/>
        <w:ind w:firstLine="709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8.2.1. посредством почтовых отправлений;</w:t>
      </w:r>
    </w:p>
    <w:p>
      <w:pPr>
        <w:pStyle w:val="Normal"/>
        <w:tabs>
          <w:tab w:val="clear" w:pos="708"/>
          <w:tab w:val="left" w:pos="0" w:leader="none"/>
          <w:tab w:val="left" w:pos="180" w:leader="none"/>
        </w:tabs>
        <w:spacing w:lineRule="auto" w:line="240" w:before="0" w:after="0"/>
        <w:ind w:firstLine="709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8.2.2. телефонограммой или телеграммой;</w:t>
      </w:r>
    </w:p>
    <w:p>
      <w:pPr>
        <w:pStyle w:val="Normal"/>
        <w:tabs>
          <w:tab w:val="clear" w:pos="708"/>
          <w:tab w:val="left" w:pos="0" w:leader="none"/>
          <w:tab w:val="left" w:pos="180" w:leader="none"/>
        </w:tabs>
        <w:spacing w:lineRule="auto" w:line="240" w:before="0" w:after="0"/>
        <w:ind w:firstLine="709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8.2.3. по факсимильной связи;</w:t>
      </w:r>
    </w:p>
    <w:p>
      <w:pPr>
        <w:pStyle w:val="Normal"/>
        <w:tabs>
          <w:tab w:val="clear" w:pos="708"/>
          <w:tab w:val="left" w:pos="0" w:leader="none"/>
          <w:tab w:val="left" w:pos="180" w:leader="none"/>
        </w:tabs>
        <w:spacing w:lineRule="auto" w:line="240" w:before="0" w:after="0"/>
        <w:ind w:firstLine="709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8.2.4. посредством электронной почты;</w:t>
      </w:r>
    </w:p>
    <w:p>
      <w:pPr>
        <w:pStyle w:val="Normal"/>
        <w:tabs>
          <w:tab w:val="clear" w:pos="708"/>
          <w:tab w:val="left" w:pos="0" w:leader="none"/>
          <w:tab w:val="left" w:pos="180" w:leader="none"/>
        </w:tabs>
        <w:spacing w:lineRule="auto" w:line="240" w:before="0" w:after="0"/>
        <w:ind w:firstLine="709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 xml:space="preserve">8.2.5. посредством мгновенных сообщений и </w:t>
      </w:r>
      <w:r>
        <w:rPr>
          <w:rFonts w:eastAsia="Times New Roman" w:cs="Times New Roman" w:ascii="Times New Roman" w:hAnsi="Times New Roman"/>
          <w:sz w:val="26"/>
          <w:szCs w:val="26"/>
          <w:lang w:val="en-US" w:eastAsia="ru-RU"/>
        </w:rPr>
        <w:t>sms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-сообщений на мобильный телефон;</w:t>
      </w:r>
    </w:p>
    <w:p>
      <w:pPr>
        <w:pStyle w:val="Normal"/>
        <w:tabs>
          <w:tab w:val="clear" w:pos="708"/>
          <w:tab w:val="left" w:pos="0" w:leader="none"/>
          <w:tab w:val="left" w:pos="180" w:leader="none"/>
        </w:tabs>
        <w:spacing w:lineRule="auto" w:line="240" w:before="0" w:after="0"/>
        <w:ind w:firstLine="709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8.2.6. с использованием иных средств связи и доставки.</w:t>
      </w:r>
    </w:p>
    <w:p>
      <w:pPr>
        <w:pStyle w:val="Normal"/>
        <w:tabs>
          <w:tab w:val="clear" w:pos="708"/>
          <w:tab w:val="left" w:pos="0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8.3. Уведомление об изменении условий Контракта способами, указанными в п. 8.1, п. 8.2 является надлежащим.</w:t>
      </w:r>
    </w:p>
    <w:p>
      <w:pPr>
        <w:pStyle w:val="Normal"/>
        <w:tabs>
          <w:tab w:val="clear" w:pos="708"/>
          <w:tab w:val="left" w:pos="0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Если в течение 15 календарных дней, с момента уведомления «Клиента» «Охрана» не получит письменный отказ от принятия изменений, это будет означать согласие «Клиента» с указанными изменениями.</w:t>
      </w:r>
    </w:p>
    <w:p>
      <w:pPr>
        <w:pStyle w:val="Normal"/>
        <w:tabs>
          <w:tab w:val="clear" w:pos="708"/>
          <w:tab w:val="left" w:pos="0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Письменный отказ «Клиента» от принятия изменений рассматривается как уведомление о досрочном расторжении Контракта.</w:t>
      </w:r>
    </w:p>
    <w:p>
      <w:pPr>
        <w:pStyle w:val="Normal"/>
        <w:tabs>
          <w:tab w:val="clear" w:pos="708"/>
          <w:tab w:val="left" w:pos="0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8.4. Контактная информация, необходимая для рассылки уведомлений, указана в разделе 10  настоящего Контракта.</w:t>
      </w:r>
    </w:p>
    <w:p>
      <w:pPr>
        <w:pStyle w:val="Normal"/>
        <w:tabs>
          <w:tab w:val="clear" w:pos="708"/>
          <w:tab w:val="left" w:pos="0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8.5. В случае изменения контактной информации, указанной в разделе 10  настоящего Контракта, «Клиент» обязан проинформировать «Охрану» о произошедших изменениях. В случае, если изменения произошли, но «Клиент» о них не проинформировал, все последующие уведомления производятся на адреса и телефоны, указанные «Клиентом».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8.6. В соответствии с Федеральным законом от 27 июля 2006 года № 152-ФЗ «О персональных данных» «Клиент», подписав настоящий Контракт, дает согласие на обработку, включая сбор, систематизацию, накопление, хранение, уточнение, использование, распространение, уничтожение своих персональных данных с использованием средств автоматизации или без использования таких средств.</w:t>
      </w:r>
    </w:p>
    <w:p>
      <w:pPr>
        <w:pStyle w:val="Normal"/>
        <w:spacing w:lineRule="auto" w:line="240" w:before="0" w:after="0"/>
        <w:ind w:left="283" w:firstLine="709"/>
        <w:contextualSpacing/>
        <w:jc w:val="center"/>
        <w:rPr>
          <w:rFonts w:ascii="Times New Roman" w:hAnsi="Times New Roman" w:eastAsia="Times New Roman" w:cs="Times New Roman"/>
          <w:b/>
          <w:b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</w:r>
    </w:p>
    <w:p>
      <w:pPr>
        <w:pStyle w:val="Normal"/>
        <w:spacing w:lineRule="auto" w:line="240" w:before="0" w:after="0"/>
        <w:ind w:left="283" w:firstLine="709"/>
        <w:contextualSpacing/>
        <w:jc w:val="center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  <w:t>9. ДЕЙСТВИЕ КОНТРАКТА</w:t>
      </w:r>
    </w:p>
    <w:p>
      <w:pPr>
        <w:pStyle w:val="Normal"/>
        <w:tabs>
          <w:tab w:val="clear" w:pos="708"/>
          <w:tab w:val="left" w:pos="567" w:leader="none"/>
          <w:tab w:val="left" w:pos="851" w:leader="none"/>
        </w:tabs>
        <w:spacing w:lineRule="auto" w:line="240" w:before="0" w:after="0"/>
        <w:ind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tabs>
          <w:tab w:val="clear" w:pos="708"/>
          <w:tab w:val="left" w:pos="567" w:leader="none"/>
          <w:tab w:val="left" w:pos="851" w:leader="none"/>
        </w:tabs>
        <w:spacing w:lineRule="auto" w:line="240" w:before="0" w:after="0"/>
        <w:ind w:hanging="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ab/>
        <w:t>9.1.</w:t>
        <w:tab/>
      </w: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sz w:val="26"/>
          <w:szCs w:val="26"/>
          <w:lang w:eastAsia="ru-RU"/>
        </w:rPr>
        <w:t xml:space="preserve">Настоящий государственный контракт вступает в силу с момента подписания его «Сторонами» и действует </w:t>
      </w:r>
      <w:r>
        <w:rPr>
          <w:rFonts w:eastAsia="Times New Roman" w:cs="Times New Roman" w:ascii="Times New Roman" w:hAnsi="Times New Roman"/>
          <w:b/>
          <w:bCs/>
          <w:sz w:val="26"/>
          <w:szCs w:val="26"/>
          <w:lang w:eastAsia="ru-RU"/>
        </w:rPr>
        <w:t xml:space="preserve">с «»  2025 года по «»  2025 года, </w:t>
      </w:r>
      <w:r>
        <w:rPr>
          <w:rFonts w:eastAsia="Times New Roman" w:cs="Times New Roman" w:ascii="Times New Roman" w:hAnsi="Times New Roman"/>
          <w:b w:val="false"/>
          <w:bCs w:val="false"/>
          <w:sz w:val="26"/>
          <w:szCs w:val="26"/>
          <w:lang w:eastAsia="ru-RU"/>
        </w:rPr>
        <w:t>а в части исполнения финансовых обязательств до полного их исполнения Сторонами.</w:t>
      </w:r>
    </w:p>
    <w:p>
      <w:pPr>
        <w:pStyle w:val="Normal"/>
        <w:tabs>
          <w:tab w:val="clear" w:pos="708"/>
          <w:tab w:val="left" w:pos="567" w:leader="none"/>
        </w:tabs>
        <w:spacing w:lineRule="auto" w:line="240" w:before="0" w:after="0"/>
        <w:ind w:hanging="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pacing w:val="-1"/>
          <w:sz w:val="26"/>
          <w:szCs w:val="26"/>
          <w:lang w:eastAsia="ru-RU"/>
        </w:rPr>
        <w:tab/>
        <w:t>9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.2.</w:t>
        <w:tab/>
        <w:t xml:space="preserve"> Контракт утрачивает силу при переходе «Объекта» в коммунальное пользование, при сдаче «Объекта» в аренду без надлежащего правового оформления или смене собственника и в иных случаях, предусмотренных законом.</w:t>
      </w:r>
    </w:p>
    <w:p>
      <w:pPr>
        <w:pStyle w:val="Normal"/>
        <w:tabs>
          <w:tab w:val="clear" w:pos="708"/>
          <w:tab w:val="left" w:pos="567" w:leader="none"/>
        </w:tabs>
        <w:spacing w:lineRule="auto" w:line="240" w:before="0" w:after="0"/>
        <w:ind w:hanging="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pacing w:val="-6"/>
          <w:sz w:val="26"/>
          <w:szCs w:val="26"/>
          <w:lang w:eastAsia="ru-RU"/>
        </w:rPr>
        <w:tab/>
        <w:t>9.3.</w:t>
        <w:tab/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Если условия об изменении оплаты на услуги «Охраны» согласно п. 7.4. Контракта не будут приняты «Клиентом», стороны приходят к соглашению о расторжении контрактного обязательства. Взаиморасчеты при расторжении Контракта производятся исходя из стоимости фактически оказанных услуг.</w:t>
      </w:r>
    </w:p>
    <w:p>
      <w:pPr>
        <w:pStyle w:val="Normal"/>
        <w:tabs>
          <w:tab w:val="clear" w:pos="708"/>
          <w:tab w:val="left" w:pos="709" w:leader="none"/>
        </w:tabs>
        <w:spacing w:lineRule="auto" w:line="240" w:before="0" w:after="0"/>
        <w:ind w:hanging="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pacing w:val="-1"/>
          <w:sz w:val="26"/>
          <w:szCs w:val="26"/>
          <w:lang w:eastAsia="ru-RU"/>
        </w:rPr>
        <w:tab/>
        <w:t xml:space="preserve">9.4. </w:t>
      </w: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>Стороны вправе расторгнуть настоящий Контракт досрочно. При этом заинтересованная в расторжении сторона письменно уведомляет об этом другую сторону за 15 дней.</w:t>
      </w:r>
    </w:p>
    <w:p>
      <w:pPr>
        <w:pStyle w:val="Normal"/>
        <w:shd w:val="clear" w:color="auto" w:fill="FFFFFF"/>
        <w:tabs>
          <w:tab w:val="clear" w:pos="708"/>
          <w:tab w:val="left" w:pos="758" w:leader="none"/>
          <w:tab w:val="left" w:pos="11758" w:leader="none"/>
        </w:tabs>
        <w:spacing w:lineRule="auto" w:line="240" w:before="0" w:after="0"/>
        <w:ind w:hanging="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color w:val="000000"/>
          <w:sz w:val="26"/>
          <w:szCs w:val="26"/>
          <w:lang w:eastAsia="ru-RU"/>
        </w:rPr>
        <w:tab/>
        <w:t>9.5.  Условия настоящего Контракта могут быть изменены по соглашению сторон, а также в соответствии с положениями законодательства РФ.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ru-RU"/>
        </w:rPr>
        <w:tab/>
        <w:t xml:space="preserve">9.6. Настоящий Контракт с приложениями (1,2,3) составлен в 2-х экземплярах, каждый из которых имеет одинаковую юридическую силу. Первый находится у «Охраны», второй - у «Клиента». </w:t>
      </w:r>
    </w:p>
    <w:p>
      <w:pPr>
        <w:pStyle w:val="Normal"/>
        <w:shd w:val="clear" w:color="auto" w:fill="FFFFFF"/>
        <w:tabs>
          <w:tab w:val="clear" w:pos="708"/>
          <w:tab w:val="left" w:pos="758" w:leader="none"/>
          <w:tab w:val="left" w:pos="11758" w:leader="none"/>
        </w:tabs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color w:val="000000"/>
          <w:sz w:val="26"/>
          <w:szCs w:val="26"/>
          <w:lang w:eastAsia="ru-RU"/>
        </w:rPr>
        <w:t xml:space="preserve">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  <w:t>10. ЮРИДИЧЕСКИЕ АДРЕСА И БАНКОВСКИЕ РЕКВИЗИТЫ СТОРОН: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sz w:val="26"/>
          <w:szCs w:val="26"/>
          <w:lang w:eastAsia="ru-RU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ru-RU"/>
        </w:rPr>
      </w:r>
    </w:p>
    <w:tbl>
      <w:tblPr>
        <w:tblW w:w="9356" w:type="dxa"/>
        <w:jc w:val="left"/>
        <w:tblInd w:w="70" w:type="dxa"/>
        <w:tblCellMar>
          <w:top w:w="0" w:type="dxa"/>
          <w:left w:w="70" w:type="dxa"/>
          <w:bottom w:w="0" w:type="dxa"/>
          <w:right w:w="70" w:type="dxa"/>
        </w:tblCellMar>
        <w:tblLook w:val="04a0"/>
      </w:tblPr>
      <w:tblGrid>
        <w:gridCol w:w="4820"/>
        <w:gridCol w:w="4535"/>
      </w:tblGrid>
      <w:tr>
        <w:trPr>
          <w:trHeight w:val="175" w:hRule="atLeast"/>
        </w:trPr>
        <w:tc>
          <w:tcPr>
            <w:tcW w:w="4820" w:type="dxa"/>
            <w:tcBorders/>
          </w:tcPr>
          <w:p>
            <w:pPr>
              <w:pStyle w:val="Normal"/>
              <w:spacing w:lineRule="auto" w:line="240" w:before="0" w:after="0"/>
              <w:ind w:right="-15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  <w:lang w:eastAsia="ru-RU"/>
              </w:rPr>
              <w:t>«Клиент»</w:t>
            </w:r>
          </w:p>
        </w:tc>
        <w:tc>
          <w:tcPr>
            <w:tcW w:w="4535" w:type="dxa"/>
            <w:tcBorders/>
          </w:tcPr>
          <w:p>
            <w:pPr>
              <w:pStyle w:val="Normal"/>
              <w:spacing w:lineRule="auto" w:line="240" w:before="0" w:after="0"/>
              <w:ind w:right="-15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  <w:lang w:eastAsia="ru-RU"/>
              </w:rPr>
              <w:t>«Охрана»</w:t>
            </w:r>
          </w:p>
        </w:tc>
      </w:tr>
      <w:tr>
        <w:trPr>
          <w:trHeight w:val="367" w:hRule="atLeast"/>
        </w:trPr>
        <w:tc>
          <w:tcPr>
            <w:tcW w:w="4820" w:type="dxa"/>
            <w:tcBorders/>
          </w:tcPr>
          <w:p>
            <w:pPr>
              <w:pStyle w:val="Normal"/>
              <w:spacing w:lineRule="atLeast" w:line="240" w:before="0" w:after="0"/>
              <w:ind w:right="356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/>
            </w:r>
          </w:p>
        </w:tc>
        <w:tc>
          <w:tcPr>
            <w:tcW w:w="4535" w:type="dxa"/>
            <w:tcBorders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bCs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/>
                <w:bCs/>
                <w:sz w:val="26"/>
                <w:szCs w:val="26"/>
              </w:rPr>
              <w:t xml:space="preserve">Федеральное государственное казённое учреждение «Отдел вневедомственной охраны войск национальной гвардии Российской Федерации по Чукотскому автономному округу» </w:t>
            </w:r>
            <w:r>
              <w:rPr>
                <w:rFonts w:cs="Times New Roman" w:ascii="Times New Roman" w:hAnsi="Times New Roman"/>
                <w:b/>
                <w:bCs/>
                <w:sz w:val="26"/>
                <w:szCs w:val="26"/>
              </w:rPr>
              <w:t>(ФГКУ «ОВО ВНГ России по Чукотскому автономному округу»)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Юридический адрес: 689000, г. Анадырь, ул. Горького, 5, тел. 8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>(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>42722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>) 2-43-18, 2-87-02</w:t>
            </w:r>
          </w:p>
          <w:p>
            <w:pPr>
              <w:pStyle w:val="Normal"/>
              <w:spacing w:lineRule="auto" w:line="240" w:before="0" w:after="0"/>
              <w:ind w:left="0" w:right="-1" w:hanging="0"/>
              <w:jc w:val="both"/>
              <w:rPr/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6"/>
                <w:szCs w:val="26"/>
                <w:lang w:eastAsia="ru-RU"/>
              </w:rPr>
              <w:t xml:space="preserve">ИНН 8709014329, КПП 870901001. Банк: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6"/>
                <w:szCs w:val="26"/>
                <w:lang w:eastAsia="ru-RU"/>
              </w:rPr>
              <w:t>ОКЦ № 11 Дальневосточного ГУ Банка России</w:t>
            </w:r>
            <w:r>
              <w:rPr>
                <w:rStyle w:val="Style18"/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6"/>
                <w:szCs w:val="26"/>
                <w:u w:val="none"/>
                <w:lang w:val="en-US" w:eastAsia="ru-RU"/>
              </w:rPr>
              <w:t xml:space="preserve">//УФК ПО ЧУКОТКОМУ АВТОНОМНОМУ ОКРУГУ г. Анадырь, БИК </w:t>
            </w:r>
            <w:r>
              <w:rPr>
                <w:rStyle w:val="Style18"/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6"/>
                <w:szCs w:val="26"/>
                <w:u w:val="none"/>
                <w:lang w:val="en-US" w:eastAsia="ru-RU"/>
              </w:rPr>
              <w:t>017719101</w:t>
            </w:r>
            <w:r>
              <w:rPr>
                <w:rStyle w:val="Style18"/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6"/>
                <w:szCs w:val="26"/>
                <w:u w:val="none"/>
                <w:lang w:val="en-US" w:eastAsia="ru-RU"/>
              </w:rPr>
              <w:t xml:space="preserve">, р/с 03100643000000018800, к/с 40102810745370000064, ОКТМО 77701000, 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УФК по Чукотскому автономному округу (ФГКУ </w:t>
            </w:r>
            <w:r>
              <w:rPr>
                <w:rStyle w:val="Style18"/>
                <w:rFonts w:cs="Times New Roman" w:ascii="Times New Roman" w:hAnsi="Times New Roman"/>
                <w:b w:val="false"/>
                <w:bCs w:val="false"/>
                <w:color w:val="000000"/>
                <w:sz w:val="26"/>
                <w:szCs w:val="26"/>
                <w:u w:val="none"/>
                <w:lang w:val="en-US"/>
              </w:rPr>
              <w:t xml:space="preserve">«ОВО ВНГ России по Чукотскому автономному округу», л/с 04881D17680), ОГРН 1128709001277, ОКПО 08686362, КБК 18011301081017000130, </w:t>
            </w:r>
          </w:p>
          <w:p>
            <w:pPr>
              <w:pStyle w:val="Normal"/>
              <w:tabs>
                <w:tab w:val="clear" w:pos="708"/>
                <w:tab w:val="left" w:pos="-3402" w:leader="none"/>
                <w:tab w:val="left" w:pos="0" w:leader="none"/>
              </w:tabs>
              <w:spacing w:lineRule="auto" w:line="240" w:before="0" w:after="0"/>
              <w:ind w:left="0" w:right="-1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Style w:val="Style18"/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6"/>
                <w:szCs w:val="26"/>
                <w:u w:val="none"/>
                <w:lang w:val="en-US"/>
              </w:rPr>
              <w:t>E-mail:ostrovskayatv@rosgvard.</w:t>
            </w:r>
            <w:r>
              <w:rPr>
                <w:rStyle w:val="Style18"/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6"/>
                <w:szCs w:val="26"/>
                <w:u w:val="none"/>
                <w:lang w:val="en-US"/>
              </w:rPr>
              <w:t>ru</w:t>
            </w:r>
          </w:p>
          <w:p>
            <w:pPr>
              <w:pStyle w:val="Normal"/>
              <w:spacing w:lineRule="auto" w:line="240" w:before="0" w:after="0"/>
              <w:ind w:right="-15" w:hanging="0"/>
              <w:jc w:val="both"/>
              <w:rPr>
                <w:rFonts w:ascii="Times New Roman" w:hAnsi="Times New Roman" w:eastAsia="Times New Roman" w:cs="Times New Roman"/>
                <w:sz w:val="26"/>
                <w:szCs w:val="26"/>
                <w:lang w:val="en-US" w:eastAsia="ru-RU"/>
              </w:rPr>
            </w:pPr>
            <w:r>
              <w:rPr>
                <w:rFonts w:eastAsia="Times New Roman" w:cs="Times New Roman" w:ascii="Times New Roman" w:hAnsi="Times New Roman"/>
                <w:sz w:val="26"/>
                <w:szCs w:val="26"/>
                <w:lang w:val="en-US" w:eastAsia="ru-RU"/>
              </w:rPr>
            </w:r>
          </w:p>
        </w:tc>
      </w:tr>
      <w:tr>
        <w:trPr>
          <w:trHeight w:val="1280" w:hRule="atLeast"/>
        </w:trPr>
        <w:tc>
          <w:tcPr>
            <w:tcW w:w="9355" w:type="dxa"/>
            <w:gridSpan w:val="2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ind w:right="-15" w:hanging="0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  <w:lang w:val="en-US" w:eastAsia="ru-RU"/>
              </w:rPr>
            </w:pPr>
            <w:r>
              <w:rPr>
                <w:rFonts w:eastAsia="Times New Roman" w:cs="Times New Roman" w:ascii="Times New Roman" w:hAnsi="Times New Roman"/>
                <w:sz w:val="26"/>
                <w:szCs w:val="26"/>
                <w:lang w:val="en-US" w:eastAsia="ru-RU"/>
              </w:rPr>
            </w:r>
          </w:p>
          <w:p>
            <w:pPr>
              <w:pStyle w:val="Normal"/>
              <w:spacing w:lineRule="auto" w:line="240" w:before="0" w:after="0"/>
              <w:ind w:right="-15" w:hanging="0"/>
              <w:rPr>
                <w:rFonts w:ascii="Times New Roman" w:hAnsi="Times New Roman" w:eastAsia="Times New Roman" w:cs="Times New Roman"/>
                <w:sz w:val="26"/>
                <w:szCs w:val="26"/>
                <w:lang w:val="en-US" w:eastAsia="ru-RU"/>
              </w:rPr>
            </w:pPr>
            <w:r>
              <w:rPr>
                <w:rFonts w:eastAsia="Times New Roman" w:cs="Times New Roman" w:ascii="Times New Roman" w:hAnsi="Times New Roman"/>
                <w:sz w:val="26"/>
                <w:szCs w:val="26"/>
                <w:lang w:val="en-US" w:eastAsia="ru-RU"/>
              </w:rPr>
            </w:r>
          </w:p>
          <w:p>
            <w:pPr>
              <w:pStyle w:val="Normal"/>
              <w:spacing w:lineRule="atLeast" w:line="240" w:before="0" w:after="0"/>
              <w:ind w:left="-180" w:right="-15" w:firstLine="70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  <w:lang w:eastAsia="ru-RU"/>
              </w:rPr>
              <w:t>ПОДПИСИ СТОРОН:</w:t>
            </w:r>
          </w:p>
          <w:tbl>
            <w:tblPr>
              <w:tblW w:w="9178" w:type="dxa"/>
              <w:jc w:val="left"/>
              <w:tblInd w:w="108" w:type="dxa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0a0"/>
            </w:tblPr>
            <w:tblGrid>
              <w:gridCol w:w="4778"/>
              <w:gridCol w:w="4399"/>
            </w:tblGrid>
            <w:tr>
              <w:trPr>
                <w:trHeight w:val="2475" w:hRule="atLeast"/>
              </w:trPr>
              <w:tc>
                <w:tcPr>
                  <w:tcW w:w="4778" w:type="dxa"/>
                  <w:tcBorders/>
                </w:tcPr>
                <w:p>
                  <w:pPr>
                    <w:pStyle w:val="Normal"/>
                    <w:spacing w:lineRule="auto" w:line="240" w:before="0" w:after="0"/>
                    <w:ind w:right="454" w:hanging="0"/>
                    <w:jc w:val="center"/>
                    <w:rPr>
                      <w:rFonts w:ascii="Times New Roman" w:hAnsi="Times New Roman" w:eastAsia="Times New Roman" w:cs="Times New Roman"/>
                      <w:b/>
                      <w:b/>
                      <w:bCs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eastAsia="Times New Roman" w:cs="Times New Roman" w:ascii="Times New Roman" w:hAnsi="Times New Roman"/>
                      <w:b/>
                      <w:bCs/>
                      <w:sz w:val="26"/>
                      <w:szCs w:val="26"/>
                      <w:lang w:eastAsia="ru-RU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ind w:right="454" w:hanging="0"/>
                    <w:jc w:val="center"/>
                    <w:rPr/>
                  </w:pPr>
                  <w:r>
                    <w:rPr>
                      <w:rFonts w:eastAsia="Times New Roman" w:cs="Times New Roman" w:ascii="Times New Roman" w:hAnsi="Times New Roman"/>
                      <w:b/>
                      <w:bCs/>
                      <w:sz w:val="26"/>
                      <w:szCs w:val="26"/>
                      <w:lang w:eastAsia="ru-RU"/>
                    </w:rPr>
                    <w:t>«Клиент»</w:t>
                  </w:r>
                </w:p>
                <w:p>
                  <w:pPr>
                    <w:pStyle w:val="Normal"/>
                    <w:spacing w:lineRule="auto" w:line="240" w:before="0" w:after="0"/>
                    <w:ind w:right="454" w:hanging="0"/>
                    <w:jc w:val="both"/>
                    <w:rPr>
                      <w:rFonts w:ascii="Times New Roman" w:hAnsi="Times New Roman" w:eastAsia="Times New Roman" w:cs="Times New Roman"/>
                      <w:b/>
                      <w:b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eastAsia="Times New Roman" w:cs="Times New Roman" w:ascii="Times New Roman" w:hAnsi="Times New Roman"/>
                      <w:b/>
                      <w:sz w:val="26"/>
                      <w:szCs w:val="26"/>
                      <w:lang w:eastAsia="ru-RU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ind w:right="454" w:hanging="0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>
                    <w:rPr/>
                  </w:r>
                </w:p>
                <w:p>
                  <w:pPr>
                    <w:pStyle w:val="Normal"/>
                    <w:spacing w:lineRule="auto" w:line="240" w:before="0" w:after="0"/>
                    <w:ind w:right="454" w:hanging="0"/>
                    <w:jc w:val="both"/>
                    <w:rPr>
                      <w:rFonts w:ascii="Times New Roman" w:hAnsi="Times New Roman" w:eastAsia="Times New Roman" w:cs="Times New Roman"/>
                      <w:bCs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eastAsia="Times New Roman" w:cs="Times New Roman" w:ascii="Times New Roman" w:hAnsi="Times New Roman"/>
                      <w:bCs/>
                      <w:sz w:val="26"/>
                      <w:szCs w:val="26"/>
                      <w:lang w:eastAsia="ru-RU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ind w:right="454" w:hanging="0"/>
                    <w:jc w:val="both"/>
                    <w:rPr>
                      <w:rFonts w:ascii="Times New Roman" w:hAnsi="Times New Roman" w:eastAsia="Times New Roman" w:cs="Times New Roman"/>
                      <w:bCs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eastAsia="Times New Roman" w:cs="Times New Roman" w:ascii="Times New Roman" w:hAnsi="Times New Roman"/>
                      <w:bCs/>
                      <w:sz w:val="26"/>
                      <w:szCs w:val="26"/>
                      <w:lang w:eastAsia="ru-RU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ind w:right="454" w:hanging="0"/>
                    <w:jc w:val="both"/>
                    <w:rPr>
                      <w:rFonts w:ascii="Times New Roman" w:hAnsi="Times New Roman" w:eastAsia="Times New Roman" w:cs="Times New Roman"/>
                      <w:bCs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eastAsia="Times New Roman" w:cs="Times New Roman" w:ascii="Times New Roman" w:hAnsi="Times New Roman"/>
                      <w:bCs/>
                      <w:sz w:val="26"/>
                      <w:szCs w:val="26"/>
                      <w:lang w:eastAsia="ru-RU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ind w:right="454" w:hanging="0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>
                    <w:rPr>
                      <w:rFonts w:eastAsia="Times New Roman" w:cs="Times New Roman" w:ascii="Times New Roman" w:hAnsi="Times New Roman"/>
                      <w:bCs/>
                      <w:sz w:val="26"/>
                      <w:szCs w:val="26"/>
                      <w:lang w:eastAsia="ru-RU"/>
                    </w:rPr>
                    <w:t>_________________//</w:t>
                  </w:r>
                </w:p>
                <w:p>
                  <w:pPr>
                    <w:pStyle w:val="Normal"/>
                    <w:spacing w:lineRule="auto" w:line="240" w:before="0" w:after="0"/>
                    <w:ind w:right="454" w:hanging="0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>
                    <w:rPr>
                      <w:rFonts w:eastAsia="Times New Roman" w:cs="Times New Roman" w:ascii="Times New Roman" w:hAnsi="Times New Roman"/>
                      <w:sz w:val="26"/>
                      <w:szCs w:val="26"/>
                      <w:lang w:eastAsia="ru-RU"/>
                    </w:rPr>
                    <w:t>М.П.</w:t>
                  </w:r>
                </w:p>
                <w:p>
                  <w:pPr>
                    <w:pStyle w:val="Normal"/>
                    <w:spacing w:lineRule="auto" w:line="240" w:before="0" w:after="0"/>
                    <w:ind w:right="454" w:hanging="0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>
                    <w:rPr>
                      <w:rFonts w:eastAsia="Times New Roman" w:cs="Times New Roman" w:ascii="Times New Roman" w:hAnsi="Times New Roman"/>
                      <w:sz w:val="26"/>
                      <w:szCs w:val="26"/>
                      <w:lang w:eastAsia="ru-RU"/>
                    </w:rPr>
                    <w:t>____ ____________________20__ г.</w:t>
                  </w:r>
                </w:p>
              </w:tc>
              <w:tc>
                <w:tcPr>
                  <w:tcW w:w="4399" w:type="dxa"/>
                  <w:tcBorders/>
                </w:tcPr>
                <w:p>
                  <w:pPr>
                    <w:pStyle w:val="Normal"/>
                    <w:spacing w:lineRule="auto" w:line="240" w:before="0" w:after="0"/>
                    <w:ind w:right="-15" w:hanging="0"/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/>
                      <w:sz w:val="26"/>
                      <w:szCs w:val="26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ind w:right="-15" w:hanging="0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rFonts w:eastAsia="Times New Roman" w:cs="Times New Roman" w:ascii="Times New Roman" w:hAnsi="Times New Roman"/>
                      <w:b/>
                      <w:bCs/>
                      <w:sz w:val="26"/>
                      <w:szCs w:val="26"/>
                      <w:lang w:eastAsia="ru-RU"/>
                    </w:rPr>
                    <w:t>«Охрана»</w:t>
                  </w:r>
                </w:p>
                <w:p>
                  <w:pPr>
                    <w:pStyle w:val="Normal"/>
                    <w:spacing w:lineRule="auto" w:line="240" w:before="0" w:after="0"/>
                    <w:ind w:left="180" w:right="-15" w:firstLine="709"/>
                    <w:jc w:val="center"/>
                    <w:rPr>
                      <w:rFonts w:ascii="Times New Roman" w:hAnsi="Times New Roman" w:eastAsia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eastAsia="Times New Roman" w:cs="Times New Roman" w:ascii="Times New Roman" w:hAnsi="Times New Roman"/>
                      <w:sz w:val="26"/>
                      <w:szCs w:val="26"/>
                      <w:lang w:eastAsia="ru-RU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ind w:right="-15" w:hanging="0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>
                    <w:rPr>
                      <w:rFonts w:eastAsia="Times New Roman" w:cs="Times New Roman" w:ascii="Times New Roman" w:hAnsi="Times New Roman"/>
                      <w:color w:val="auto"/>
                      <w:kern w:val="0"/>
                      <w:sz w:val="26"/>
                      <w:szCs w:val="26"/>
                      <w:lang w:val="ru-RU" w:eastAsia="ru-RU" w:bidi="ar-SA"/>
                    </w:rPr>
                    <w:t>Н</w:t>
                  </w:r>
                  <w:r>
                    <w:rPr>
                      <w:rFonts w:eastAsia="Times New Roman" w:cs="Times New Roman" w:ascii="Times New Roman" w:hAnsi="Times New Roman"/>
                      <w:sz w:val="26"/>
                      <w:szCs w:val="26"/>
                      <w:lang w:eastAsia="ru-RU"/>
                    </w:rPr>
                    <w:t>ачальник ФГКУ «ОВО ВНГ России по Чукотскому автономному округу»</w:t>
                  </w:r>
                </w:p>
                <w:p>
                  <w:pPr>
                    <w:pStyle w:val="Normal"/>
                    <w:spacing w:lineRule="auto" w:line="240" w:before="0" w:after="0"/>
                    <w:ind w:left="38" w:right="-15" w:hanging="0"/>
                    <w:jc w:val="both"/>
                    <w:rPr>
                      <w:rFonts w:ascii="Times New Roman" w:hAnsi="Times New Roman" w:eastAsia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eastAsia="Times New Roman" w:cs="Times New Roman" w:ascii="Times New Roman" w:hAnsi="Times New Roman"/>
                      <w:sz w:val="26"/>
                      <w:szCs w:val="26"/>
                      <w:lang w:eastAsia="ru-RU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ind w:left="38" w:right="-15" w:hanging="0"/>
                    <w:jc w:val="both"/>
                    <w:rPr>
                      <w:rFonts w:ascii="Times New Roman" w:hAnsi="Times New Roman" w:eastAsia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eastAsia="Times New Roman" w:cs="Times New Roman" w:ascii="Times New Roman" w:hAnsi="Times New Roman"/>
                      <w:sz w:val="26"/>
                      <w:szCs w:val="26"/>
                      <w:lang w:eastAsia="ru-RU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ind w:left="38" w:right="-15" w:hanging="0"/>
                    <w:jc w:val="both"/>
                    <w:rPr>
                      <w:rFonts w:ascii="Times New Roman" w:hAnsi="Times New Roman" w:eastAsia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eastAsia="Times New Roman" w:cs="Times New Roman" w:ascii="Times New Roman" w:hAnsi="Times New Roman"/>
                      <w:sz w:val="26"/>
                      <w:szCs w:val="26"/>
                      <w:lang w:eastAsia="ru-RU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ind w:right="-15" w:hanging="0"/>
                    <w:jc w:val="both"/>
                    <w:rPr>
                      <w:rFonts w:ascii="Times New Roman" w:hAnsi="Times New Roman" w:eastAsia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eastAsia="Times New Roman" w:cs="Times New Roman" w:ascii="Times New Roman" w:hAnsi="Times New Roman"/>
                      <w:sz w:val="26"/>
                      <w:szCs w:val="26"/>
                      <w:lang w:eastAsia="ru-RU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ind w:left="38" w:right="-15" w:hanging="0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>
                    <w:rPr>
                      <w:rFonts w:eastAsia="Times New Roman" w:cs="Times New Roman" w:ascii="Times New Roman" w:hAnsi="Times New Roman"/>
                      <w:sz w:val="26"/>
                      <w:szCs w:val="26"/>
                      <w:lang w:eastAsia="ru-RU"/>
                    </w:rPr>
                    <w:t xml:space="preserve">____________________// </w:t>
                  </w:r>
                </w:p>
                <w:p>
                  <w:pPr>
                    <w:pStyle w:val="Normal"/>
                    <w:spacing w:lineRule="auto" w:line="240" w:before="0" w:after="0"/>
                    <w:ind w:left="38" w:right="-15" w:hanging="0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>
                    <w:rPr>
                      <w:rFonts w:eastAsia="Times New Roman" w:cs="Times New Roman" w:ascii="Times New Roman" w:hAnsi="Times New Roman"/>
                      <w:sz w:val="26"/>
                      <w:szCs w:val="26"/>
                      <w:lang w:eastAsia="ru-RU"/>
                    </w:rPr>
                    <w:t xml:space="preserve">М.П. </w:t>
                  </w:r>
                </w:p>
                <w:p>
                  <w:pPr>
                    <w:pStyle w:val="Normal"/>
                    <w:spacing w:lineRule="auto" w:line="240" w:before="0" w:after="0"/>
                    <w:ind w:left="38" w:right="-15" w:hanging="0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>
                    <w:rPr>
                      <w:rFonts w:eastAsia="Times New Roman" w:cs="Times New Roman" w:ascii="Times New Roman" w:hAnsi="Times New Roman"/>
                      <w:sz w:val="26"/>
                      <w:szCs w:val="26"/>
                      <w:lang w:eastAsia="ru-RU"/>
                    </w:rPr>
                    <w:t>____ __________________ 20__</w:t>
                  </w:r>
                  <w:r>
                    <w:rPr>
                      <w:rFonts w:eastAsia="Times New Roman" w:cs="Times New Roman" w:ascii="Times New Roman" w:hAnsi="Times New Roman"/>
                      <w:b/>
                      <w:sz w:val="26"/>
                      <w:szCs w:val="26"/>
                      <w:lang w:eastAsia="ru-RU"/>
                    </w:rPr>
                    <w:t xml:space="preserve"> </w:t>
                  </w:r>
                  <w:r>
                    <w:rPr>
                      <w:rFonts w:eastAsia="Times New Roman" w:cs="Times New Roman" w:ascii="Times New Roman" w:hAnsi="Times New Roman"/>
                      <w:sz w:val="26"/>
                      <w:szCs w:val="26"/>
                      <w:lang w:eastAsia="ru-RU"/>
                    </w:rPr>
                    <w:t>г.</w:t>
                  </w:r>
                </w:p>
              </w:tc>
            </w:tr>
          </w:tbl>
          <w:p>
            <w:pPr>
              <w:pStyle w:val="Normal"/>
              <w:spacing w:lineRule="auto" w:line="240" w:before="0" w:after="0"/>
              <w:ind w:right="-15" w:hanging="0"/>
              <w:jc w:val="center"/>
              <w:rPr>
                <w:rFonts w:ascii="Times New Roman" w:hAnsi="Times New Roman" w:eastAsia="Times New Roman" w:cs="Times New Roman"/>
                <w:sz w:val="26"/>
                <w:szCs w:val="26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6"/>
                <w:szCs w:val="26"/>
                <w:lang w:eastAsia="ru-RU"/>
              </w:rPr>
            </w:r>
          </w:p>
        </w:tc>
      </w:tr>
    </w:tbl>
    <w:p>
      <w:pPr>
        <w:pStyle w:val="Normal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p>
      <w:pPr>
        <w:pStyle w:val="Normal"/>
        <w:spacing w:before="0" w:after="200"/>
        <w:rPr>
          <w:rFonts w:ascii="Times New Roman" w:hAnsi="Times New Roman"/>
          <w:sz w:val="26"/>
          <w:szCs w:val="26"/>
        </w:rPr>
      </w:pPr>
      <w:r>
        <w:rPr/>
      </w:r>
    </w:p>
    <w:sectPr>
      <w:footerReference w:type="default" r:id="rId2"/>
      <w:footnotePr>
        <w:numFmt w:val="decimal"/>
      </w:footnotePr>
      <w:type w:val="nextPage"/>
      <w:pgSz w:w="11906" w:h="16838"/>
      <w:pgMar w:left="1701" w:right="850" w:header="0" w:top="1134" w:footer="708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Sans">
    <w:charset w:val="01"/>
    <w:family w:val="roman"/>
    <w:pitch w:val="default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8"/>
      <w:rPr/>
    </w:pPr>
    <w:r>
      <w:rPr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Style29"/>
        <w:rPr>
          <w:sz w:val="16"/>
          <w:szCs w:val="16"/>
        </w:rPr>
      </w:pPr>
      <w:r>
        <w:rPr>
          <w:rStyle w:val="Style19"/>
        </w:rPr>
        <w:footnoteRef/>
      </w: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>Действие п.п. 1.7.,1.8. распространяется при  согласии «Клиента» использовать «Оконечное устройство», числящееся на балансе «Охраны».</w:t>
      </w:r>
    </w:p>
  </w:footnote>
  <w:footnote w:id="3">
    <w:p>
      <w:pPr>
        <w:pStyle w:val="Norma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Style w:val="Style19"/>
        </w:rPr>
        <w:footnoteRef/>
      </w:r>
      <w:r>
        <w:rPr>
          <w:rFonts w:cs="Times New Roman" w:ascii="Times New Roman" w:hAnsi="Times New Roman"/>
          <w:sz w:val="16"/>
          <w:szCs w:val="16"/>
        </w:rPr>
        <w:t xml:space="preserve"> </w:t>
      </w:r>
      <w:r>
        <w:rPr>
          <w:rFonts w:cs="Times New Roman" w:ascii="Times New Roman" w:hAnsi="Times New Roman"/>
          <w:sz w:val="16"/>
          <w:szCs w:val="16"/>
          <w:shd w:fill="FFFFFF" w:val="clear"/>
        </w:rPr>
        <w:t>Действие пп. 4.15. государственного контракта распространяется на юридических лиц, которые могут быть признаны несостоятельными (банкротами) в соответствии с Гражданским кодексом Российской Федерации</w:t>
      </w:r>
      <w:r>
        <w:rPr>
          <w:rFonts w:cs="Times New Roman" w:ascii="Times New Roman" w:hAnsi="Times New Roman"/>
          <w:sz w:val="16"/>
          <w:szCs w:val="16"/>
        </w:rPr>
        <w:t>.</w:t>
      </w:r>
    </w:p>
    <w:p>
      <w:pPr>
        <w:pStyle w:val="Style29"/>
        <w:rPr/>
      </w:pPr>
      <w:r>
        <w:rPr/>
      </w:r>
    </w:p>
  </w:footnote>
  <w:footnote w:id="4">
    <w:p>
      <w:pPr>
        <w:pStyle w:val="Style29"/>
        <w:rPr>
          <w:sz w:val="16"/>
          <w:szCs w:val="16"/>
        </w:rPr>
      </w:pPr>
      <w:r>
        <w:rPr>
          <w:rStyle w:val="Style19"/>
        </w:rPr>
        <w:footnoteRef/>
      </w: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>Действие подпунктов 4.16., 4.17., 4.18. распространяется в случае согласия «Клиента» использовать «Оконечное устройство», числящееся на балансе «Охраны».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3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40" w:hanging="144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footnotePr>
    <w:numFmt w:val="decimal"/>
    <w:footnote w:id="0"/>
    <w:footnote w:id="1"/>
  </w:footnotePr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c54526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Нижний колонтитул Знак"/>
    <w:basedOn w:val="DefaultParagraphFont"/>
    <w:link w:val="a3"/>
    <w:qFormat/>
    <w:rsid w:val="00cd3dab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Pagenumber">
    <w:name w:val="page number"/>
    <w:basedOn w:val="DefaultParagraphFont"/>
    <w:qFormat/>
    <w:rsid w:val="00cd3dab"/>
    <w:rPr/>
  </w:style>
  <w:style w:type="character" w:styleId="Style15" w:customStyle="1">
    <w:name w:val="Текст сноски Знак"/>
    <w:basedOn w:val="DefaultParagraphFont"/>
    <w:link w:val="a6"/>
    <w:qFormat/>
    <w:rsid w:val="00cd3dab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6">
    <w:name w:val="Привязка сноски"/>
    <w:rPr>
      <w:vertAlign w:val="superscript"/>
    </w:rPr>
  </w:style>
  <w:style w:type="character" w:styleId="FootnoteCharacters">
    <w:name w:val="Footnote Characters"/>
    <w:qFormat/>
    <w:rsid w:val="00cd3dab"/>
    <w:rPr>
      <w:vertAlign w:val="superscript"/>
    </w:rPr>
  </w:style>
  <w:style w:type="character" w:styleId="Style17" w:customStyle="1">
    <w:name w:val="Текст выноски Знак"/>
    <w:basedOn w:val="DefaultParagraphFont"/>
    <w:link w:val="a9"/>
    <w:uiPriority w:val="99"/>
    <w:semiHidden/>
    <w:qFormat/>
    <w:rsid w:val="008376fb"/>
    <w:rPr>
      <w:rFonts w:ascii="Tahoma" w:hAnsi="Tahoma" w:cs="Tahoma"/>
      <w:sz w:val="16"/>
      <w:szCs w:val="16"/>
    </w:rPr>
  </w:style>
  <w:style w:type="character" w:styleId="Style18" w:customStyle="1">
    <w:name w:val="Интернет-ссылка"/>
    <w:basedOn w:val="DefaultParagraphFont"/>
    <w:uiPriority w:val="99"/>
    <w:unhideWhenUsed/>
    <w:rsid w:val="00c421bf"/>
    <w:rPr>
      <w:color w:val="0000FF" w:themeColor="hyperlink"/>
      <w:u w:val="single"/>
    </w:rPr>
  </w:style>
  <w:style w:type="character" w:styleId="Style19">
    <w:name w:val="Символ сноски"/>
    <w:qFormat/>
    <w:rPr/>
  </w:style>
  <w:style w:type="character" w:styleId="Style20">
    <w:name w:val="Привязка концевой сноски"/>
    <w:rPr>
      <w:vertAlign w:val="superscript"/>
    </w:rPr>
  </w:style>
  <w:style w:type="character" w:styleId="Style21">
    <w:name w:val="Символ концевой сноски"/>
    <w:qFormat/>
    <w:rPr/>
  </w:style>
  <w:style w:type="paragraph" w:styleId="Style22">
    <w:name w:val="Заголовок"/>
    <w:basedOn w:val="Normal"/>
    <w:next w:val="Style23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23">
    <w:name w:val="Body Text"/>
    <w:basedOn w:val="Normal"/>
    <w:pPr>
      <w:spacing w:lineRule="auto" w:line="276" w:before="0" w:after="140"/>
    </w:pPr>
    <w:rPr/>
  </w:style>
  <w:style w:type="paragraph" w:styleId="Style24">
    <w:name w:val="List"/>
    <w:basedOn w:val="Style23"/>
    <w:pPr/>
    <w:rPr>
      <w:rFonts w:ascii="PT Sans" w:hAnsi="PT Sans" w:cs="Noto Sans Devanagari"/>
    </w:rPr>
  </w:style>
  <w:style w:type="paragraph" w:styleId="Style25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6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Style27">
    <w:name w:val="Верхний и нижний колонтитулы"/>
    <w:basedOn w:val="Normal"/>
    <w:qFormat/>
    <w:pPr/>
    <w:rPr/>
  </w:style>
  <w:style w:type="paragraph" w:styleId="Style28">
    <w:name w:val="Footer"/>
    <w:basedOn w:val="Normal"/>
    <w:link w:val="a4"/>
    <w:rsid w:val="00cd3dab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29">
    <w:name w:val="Footnote Text"/>
    <w:basedOn w:val="Normal"/>
    <w:link w:val="a7"/>
    <w:rsid w:val="00cd3dab"/>
    <w:pPr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BalloonText">
    <w:name w:val="Balloon Text"/>
    <w:basedOn w:val="Normal"/>
    <w:link w:val="aa"/>
    <w:uiPriority w:val="99"/>
    <w:semiHidden/>
    <w:unhideWhenUsed/>
    <w:qFormat/>
    <w:rsid w:val="008376fb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30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notes" Target="footnote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Application>LibreOffice/6.4.7.2$Linux_X86_64 LibreOffice_project/40$Build-2</Application>
  <Pages>9</Pages>
  <Words>2729</Words>
  <Characters>19602</Characters>
  <CharactersWithSpaces>22464</CharactersWithSpaces>
  <Paragraphs>129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2016-01-14T04:04:00Z</dcterms:created>
  <dc:creator>USER</dc:creator>
  <dc:description/>
  <dc:language>ru-RU</dc:language>
  <cp:lastModifiedBy/>
  <cp:lastPrinted>2022-01-31T11:36:15Z</cp:lastPrinted>
  <dcterms:modified xsi:type="dcterms:W3CDTF">2025-12-17T11:09:54Z</dcterms:modified>
  <cp:revision>66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